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2"/>
      <w:bookmarkStart w:id="2" w:name="OLE_LINK34"/>
      <w:bookmarkStart w:id="3" w:name="OLE_LINK13"/>
      <w:bookmarkStart w:id="4" w:name="OLE_LINK24"/>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20bis</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R1-250</w:t>
      </w:r>
      <w:r>
        <w:rPr>
          <w:rFonts w:hint="eastAsia" w:ascii="Times New Roman" w:hAnsi="Times New Roman" w:eastAsia="宋体"/>
          <w:b/>
          <w:sz w:val="24"/>
          <w:szCs w:val="24"/>
        </w:rPr>
        <w:t>1790</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Wuhan, China, April 7</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11</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collision handling of SSB and RA occasion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5</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RAN4 sent an LS [1] to RAN1 to reply the question raised by RAN1#119 meeting on whether and how to handle the collision between an SSB and a valid RO associated with different cells for Rel-18 LTM. </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overflowPunct w:val="0"/>
              <w:autoSpaceDE w:val="0"/>
              <w:autoSpaceDN w:val="0"/>
              <w:adjustRightInd w:val="0"/>
              <w:spacing w:before="180" w:beforeLines="50" w:after="180" w:afterLines="50" w:line="240" w:lineRule="exact"/>
              <w:jc w:val="both"/>
              <w:rPr>
                <w:rFonts w:ascii="Times New Roman" w:hAnsi="Times New Roman"/>
                <w:bCs/>
                <w:iCs/>
                <w:sz w:val="20"/>
                <w:szCs w:val="20"/>
              </w:rPr>
            </w:pPr>
            <w:bookmarkStart w:id="7" w:name="OLE_LINK31"/>
            <w:r>
              <w:rPr>
                <w:rFonts w:ascii="Times New Roman" w:hAnsi="Times New Roman" w:eastAsia="Times New Roman"/>
                <w:bCs/>
                <w:iCs/>
                <w:sz w:val="20"/>
                <w:szCs w:val="20"/>
                <w:lang w:bidi="ar"/>
              </w:rPr>
              <w:t>RAN4 would like to thank RAN1 for the LS on collision between SSB and RA occasion for LTM (in R1-2410911/R4-2500008). RAN4 discussed the question from RAN1 and reached the following consensus:</w:t>
            </w:r>
          </w:p>
          <w:p>
            <w:pPr>
              <w:pStyle w:val="136"/>
              <w:numPr>
                <w:ilvl w:val="0"/>
                <w:numId w:val="5"/>
              </w:numPr>
              <w:overflowPunct/>
              <w:autoSpaceDE/>
              <w:adjustRightInd/>
              <w:snapToGrid w:val="0"/>
              <w:spacing w:after="120" w:line="240" w:lineRule="exact"/>
              <w:rPr>
                <w:rFonts w:eastAsia="Yu Mincho"/>
              </w:rPr>
            </w:pPr>
            <w:bookmarkStart w:id="8" w:name="OLE_LINK16"/>
            <w:r>
              <w:t>RACH shall be prioritized over SSB, if the collision is outside MG.</w:t>
            </w:r>
          </w:p>
          <w:p>
            <w:pPr>
              <w:pStyle w:val="136"/>
              <w:numPr>
                <w:ilvl w:val="0"/>
                <w:numId w:val="5"/>
              </w:numPr>
              <w:overflowPunct/>
              <w:autoSpaceDE/>
              <w:adjustRightInd/>
              <w:snapToGrid w:val="0"/>
              <w:spacing w:after="120" w:line="240" w:lineRule="exact"/>
              <w:rPr>
                <w:rFonts w:eastAsia="Yu Mincho"/>
              </w:rPr>
            </w:pPr>
            <w:r>
              <w:rPr>
                <w:rFonts w:eastAsia="Yu Mincho"/>
              </w:rPr>
              <w:t>If collision happens within MG, it is up to UE implementation, i.e., UE may transmit or drop RACH when the RACH occasion colliding with the MG occasion.</w:t>
            </w:r>
          </w:p>
          <w:bookmarkEnd w:id="7"/>
          <w:bookmarkEnd w:id="8"/>
          <w:p>
            <w:pPr>
              <w:overflowPunct w:val="0"/>
              <w:autoSpaceDE w:val="0"/>
              <w:autoSpaceDN w:val="0"/>
              <w:adjustRightInd w:val="0"/>
              <w:spacing w:after="120" w:line="240" w:lineRule="exact"/>
              <w:ind w:left="1985" w:hanging="1985"/>
              <w:rPr>
                <w:rFonts w:ascii="Times New Roman" w:hAnsi="Times New Roman"/>
                <w:b/>
                <w:sz w:val="20"/>
                <w:szCs w:val="20"/>
              </w:rPr>
            </w:pPr>
            <w:r>
              <w:rPr>
                <w:rFonts w:ascii="Times New Roman" w:hAnsi="Times New Roman" w:eastAsia="Times New Roman"/>
                <w:b/>
                <w:sz w:val="20"/>
                <w:szCs w:val="20"/>
                <w:lang w:bidi="ar"/>
              </w:rPr>
              <w:t xml:space="preserve">To RAN1: </w:t>
            </w:r>
          </w:p>
          <w:p>
            <w:pPr>
              <w:overflowPunct w:val="0"/>
              <w:autoSpaceDE w:val="0"/>
              <w:autoSpaceDN w:val="0"/>
              <w:adjustRightInd w:val="0"/>
              <w:spacing w:after="120" w:line="240" w:lineRule="exact"/>
              <w:ind w:left="993" w:hanging="993"/>
            </w:pPr>
            <w:r>
              <w:rPr>
                <w:rFonts w:ascii="Times New Roman" w:hAnsi="Times New Roman" w:eastAsia="Times New Roman"/>
                <w:b/>
                <w:sz w:val="20"/>
                <w:szCs w:val="20"/>
                <w:lang w:bidi="ar"/>
              </w:rPr>
              <w:t xml:space="preserve">ACTION: </w:t>
            </w:r>
            <w:r>
              <w:rPr>
                <w:rFonts w:ascii="Times New Roman" w:hAnsi="Times New Roman" w:eastAsia="Times New Roman"/>
                <w:b/>
                <w:sz w:val="20"/>
                <w:szCs w:val="20"/>
                <w:lang w:bidi="ar"/>
              </w:rPr>
              <w:tab/>
            </w:r>
            <w:bookmarkStart w:id="9" w:name="OLE_LINK29"/>
            <w:bookmarkStart w:id="10" w:name="OLE_LINK28"/>
            <w:r>
              <w:rPr>
                <w:rFonts w:ascii="Times New Roman" w:hAnsi="Times New Roman" w:eastAsia="Times New Roman"/>
                <w:sz w:val="20"/>
                <w:szCs w:val="20"/>
                <w:lang w:bidi="ar"/>
              </w:rPr>
              <w:t xml:space="preserve">RAN4 </w:t>
            </w:r>
            <w:r>
              <w:rPr>
                <w:rFonts w:ascii="Times New Roman" w:hAnsi="Times New Roman" w:eastAsia="Times New Roman"/>
                <w:iCs/>
                <w:sz w:val="20"/>
                <w:szCs w:val="20"/>
                <w:lang w:bidi="ar"/>
              </w:rPr>
              <w:t>respectfully asks RAN1 to take into account above information</w:t>
            </w:r>
            <w:r>
              <w:rPr>
                <w:rFonts w:ascii="Times New Roman" w:hAnsi="Times New Roman" w:eastAsia="Times New Roman"/>
                <w:sz w:val="20"/>
                <w:szCs w:val="20"/>
                <w:lang w:bidi="ar"/>
              </w:rPr>
              <w:t>.</w:t>
            </w:r>
            <w:bookmarkEnd w:id="9"/>
            <w:bookmarkEnd w:id="10"/>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the above reply from RAN4, RAN1 still needs to further analyze and determine the potential specification impact. Thus, in this contribution, we will provide our views on spec impact of collision between SSB and RA occasion associated with different cells (including serving cell and candidate cell</w:t>
      </w:r>
      <w:r>
        <w:rPr>
          <w:rFonts w:ascii="Times New Roman" w:hAnsi="Times New Roman"/>
          <w:sz w:val="20"/>
          <w:szCs w:val="20"/>
        </w:rPr>
        <w:t>s</w:t>
      </w:r>
      <w:r>
        <w:rPr>
          <w:rFonts w:hint="eastAsia" w:ascii="Times New Roman" w:hAnsi="Times New Roman"/>
          <w:sz w:val="20"/>
          <w:szCs w:val="20"/>
        </w:rPr>
        <w:t xml:space="preserve">).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the current TR 38.213-i60, RAN1 has clearly specified mapping relationship between SSB and RACH occasion from the same candidate cell and the definition of valid RACH occasion as below, which means that a valid RACH occasion from a candidate cell does not overlap with a SSB from the candidate cell.</w:t>
      </w:r>
    </w:p>
    <w:tbl>
      <w:tblPr>
        <w:tblStyle w:val="29"/>
        <w:tblW w:w="0" w:type="auto"/>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3"/>
              <w:widowControl/>
              <w:numPr>
                <w:ilvl w:val="0"/>
                <w:numId w:val="0"/>
              </w:numPr>
              <w:rPr>
                <w:lang w:val="en-US"/>
              </w:rPr>
            </w:pPr>
            <w:bookmarkStart w:id="11" w:name="_Toc192000809"/>
            <w:bookmarkStart w:id="12" w:name="_Toc20311574"/>
            <w:bookmarkStart w:id="13" w:name="_Toc29899129"/>
            <w:bookmarkStart w:id="14" w:name="_Toc36498158"/>
            <w:bookmarkStart w:id="15" w:name="_Toc29917284"/>
            <w:bookmarkStart w:id="16" w:name="_Toc29894830"/>
            <w:bookmarkStart w:id="17" w:name="_Toc26719399"/>
            <w:bookmarkStart w:id="18" w:name="_Toc29899547"/>
            <w:bookmarkStart w:id="19" w:name="_Toc12021462"/>
            <w:bookmarkStart w:id="20" w:name="_Ref491452917"/>
            <w:bookmarkStart w:id="21" w:name="_Toc45699184"/>
            <w:r>
              <w:rPr>
                <w:lang w:val="en-US"/>
              </w:rPr>
              <w:t>8.1</w:t>
            </w:r>
            <w:r>
              <w:rPr>
                <w:lang w:val="en-US"/>
              </w:rPr>
              <w:tab/>
            </w:r>
            <w:r>
              <w:rPr>
                <w:lang w:val="en-US"/>
              </w:rPr>
              <w:t>Random access preamble</w:t>
            </w:r>
            <w:bookmarkEnd w:id="11"/>
            <w:bookmarkEnd w:id="12"/>
            <w:bookmarkEnd w:id="13"/>
            <w:bookmarkEnd w:id="14"/>
            <w:bookmarkEnd w:id="15"/>
            <w:bookmarkEnd w:id="16"/>
            <w:bookmarkEnd w:id="17"/>
            <w:bookmarkEnd w:id="18"/>
            <w:bookmarkEnd w:id="19"/>
            <w:bookmarkEnd w:id="20"/>
            <w:bookmarkEnd w:id="21"/>
          </w:p>
          <w:p>
            <w:pPr>
              <w:spacing w:after="120" w:line="240" w:lineRule="exact"/>
            </w:pPr>
            <w:r>
              <w:rPr>
                <w:rFonts w:ascii="Times New Roman" w:hAnsi="Times New Roman" w:eastAsia="宋体"/>
                <w:sz w:val="20"/>
                <w:szCs w:val="20"/>
                <w:highlight w:val="yellow"/>
                <w:lang w:bidi="ar"/>
              </w:rPr>
              <w:t xml:space="preserve">SS/PBCH block indexes provided by </w:t>
            </w:r>
            <w:r>
              <w:rPr>
                <w:rFonts w:ascii="Times New Roman" w:hAnsi="Times New Roman" w:eastAsia="宋体"/>
                <w:i/>
                <w:sz w:val="20"/>
                <w:szCs w:val="20"/>
                <w:highlight w:val="yellow"/>
                <w:lang w:bidi="ar"/>
              </w:rPr>
              <w:t>ssb-PositionsInBurst</w:t>
            </w:r>
            <w:r>
              <w:rPr>
                <w:rFonts w:ascii="Times New Roman" w:hAnsi="Times New Roman" w:eastAsia="宋体"/>
                <w:sz w:val="20"/>
                <w:szCs w:val="20"/>
                <w:highlight w:val="yellow"/>
                <w:lang w:bidi="ar"/>
              </w:rPr>
              <w:t xml:space="preserve"> in </w:t>
            </w:r>
            <w:r>
              <w:rPr>
                <w:rFonts w:ascii="Times New Roman" w:hAnsi="Times New Roman" w:eastAsia="宋体"/>
                <w:i/>
                <w:sz w:val="20"/>
                <w:szCs w:val="20"/>
                <w:highlight w:val="yellow"/>
                <w:lang w:bidi="ar"/>
              </w:rPr>
              <w:t>SIB1</w:t>
            </w:r>
            <w:r>
              <w:rPr>
                <w:rFonts w:ascii="Times New Roman" w:hAnsi="Times New Roman" w:eastAsia="宋体"/>
                <w:sz w:val="20"/>
                <w:szCs w:val="20"/>
                <w:highlight w:val="yellow"/>
                <w:lang w:bidi="ar"/>
              </w:rPr>
              <w:t xml:space="preserve"> or in </w:t>
            </w:r>
            <w:r>
              <w:rPr>
                <w:rFonts w:ascii="Times New Roman" w:hAnsi="Times New Roman" w:eastAsia="宋体"/>
                <w:i/>
                <w:sz w:val="20"/>
                <w:szCs w:val="20"/>
                <w:highlight w:val="yellow"/>
                <w:lang w:bidi="ar"/>
              </w:rPr>
              <w:t>ServingCellConfigCommon</w:t>
            </w:r>
            <w:r>
              <w:rPr>
                <w:rFonts w:ascii="Times New Roman" w:hAnsi="Times New Roman" w:eastAsia="宋体"/>
                <w:sz w:val="20"/>
                <w:szCs w:val="20"/>
                <w:highlight w:val="yellow"/>
                <w:lang w:bidi="ar"/>
              </w:rPr>
              <w:t xml:space="preserve"> or in </w:t>
            </w:r>
            <w:r>
              <w:rPr>
                <w:rFonts w:ascii="Times New Roman" w:hAnsi="Times New Roman" w:eastAsia="宋体"/>
                <w:i/>
                <w:iCs/>
                <w:sz w:val="20"/>
                <w:szCs w:val="20"/>
                <w:highlight w:val="yellow"/>
                <w:lang w:bidi="ar"/>
              </w:rPr>
              <w:t>SSB-MTC-AdditionalPCI</w:t>
            </w:r>
            <w:r>
              <w:rPr>
                <w:rFonts w:ascii="Times New Roman" w:hAnsi="Times New Roman" w:eastAsia="宋体"/>
                <w:sz w:val="20"/>
                <w:szCs w:val="20"/>
                <w:highlight w:val="yellow"/>
                <w:lang w:bidi="ar"/>
              </w:rPr>
              <w:t xml:space="preserve"> or in </w:t>
            </w:r>
            <w:r>
              <w:rPr>
                <w:rFonts w:ascii="Times New Roman" w:hAnsi="Times New Roman" w:eastAsia="宋体"/>
                <w:i/>
                <w:sz w:val="20"/>
                <w:szCs w:val="20"/>
                <w:highlight w:val="yellow"/>
                <w:lang w:bidi="ar"/>
              </w:rPr>
              <w:t>LTM-SSB-Config</w:t>
            </w:r>
            <w:r>
              <w:rPr>
                <w:rFonts w:ascii="Times New Roman" w:hAnsi="Times New Roman" w:eastAsia="宋体"/>
                <w:sz w:val="20"/>
                <w:szCs w:val="20"/>
                <w:highlight w:val="yellow"/>
                <w:lang w:bidi="ar"/>
              </w:rPr>
              <w:t xml:space="preserve"> are mapped to valid PRACH occasions</w:t>
            </w:r>
            <w:r>
              <w:rPr>
                <w:rFonts w:ascii="Times New Roman" w:hAnsi="Times New Roman" w:eastAsia="宋体"/>
                <w:sz w:val="20"/>
                <w:szCs w:val="20"/>
                <w:lang w:bidi="ar"/>
              </w:rPr>
              <w:t xml:space="preserve"> in the following order where the parameters are described in [4, TS 38.211].</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First, in increasing order of preamble indexes within a single PRACH occasion</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Second, in increasing order of frequency resource indexes for frequency multiplexed PRACH occasions</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Third, in increasing order of time resource indexes for time multiplexed PRACH occasions within a PRACH slot</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Fourth, in increasing order of indexes for PRACH slots</w:t>
            </w:r>
          </w:p>
          <w:p>
            <w:pPr>
              <w:spacing w:after="120" w:line="240" w:lineRule="exact"/>
              <w:rPr>
                <w:rFonts w:ascii="Times New Roman" w:hAnsi="Times New Roman" w:eastAsia="宋体"/>
                <w:sz w:val="20"/>
                <w:szCs w:val="20"/>
                <w:lang w:bidi="ar"/>
              </w:rPr>
            </w:pPr>
            <w:r>
              <w:rPr>
                <w:rFonts w:ascii="Times New Roman" w:hAnsi="Times New Roman" w:eastAsia="宋体"/>
                <w:sz w:val="20"/>
                <w:szCs w:val="20"/>
                <w:lang w:bidi="ar"/>
              </w:rPr>
              <w:t xml:space="preserve">An association period, starting from frame 0, for mapping SS/PBCH block indexes to PRACH occasions is the smallest integer number in the set determined by the PRACH configuration period according Table 8.1-1 such that </w:t>
            </w:r>
            <w:r>
              <w:rPr>
                <w:rFonts w:ascii="Times New Roman" w:hAnsi="Times New Roman" w:eastAsia="宋体"/>
                <w:position w:val="-6"/>
                <w:sz w:val="20"/>
                <w:szCs w:val="20"/>
                <w:lang w:eastAsia="en-US" w:bidi="ar"/>
              </w:rPr>
              <w:drawing>
                <wp:inline distT="0" distB="0" distL="114300" distR="114300">
                  <wp:extent cx="262255" cy="158750"/>
                  <wp:effectExtent l="0" t="0" r="7620" b="0"/>
                  <wp:docPr id="4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4"/>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62255" cy="158750"/>
                          </a:xfrm>
                          <a:prstGeom prst="rect">
                            <a:avLst/>
                          </a:prstGeom>
                          <a:noFill/>
                          <a:ln>
                            <a:noFill/>
                          </a:ln>
                        </pic:spPr>
                      </pic:pic>
                    </a:graphicData>
                  </a:graphic>
                </wp:inline>
              </w:drawing>
            </w:r>
            <w:r>
              <w:rPr>
                <w:rFonts w:ascii="Times New Roman" w:hAnsi="Times New Roman" w:eastAsia="宋体"/>
                <w:sz w:val="20"/>
                <w:szCs w:val="20"/>
                <w:lang w:bidi="ar"/>
              </w:rPr>
              <w:t xml:space="preserve"> SS/PBCH block indexes are mapped at least once to the PRACH occasions within the association period, where a UE obtains </w:t>
            </w:r>
            <w:r>
              <w:rPr>
                <w:rFonts w:ascii="Times New Roman" w:hAnsi="Times New Roman" w:eastAsia="宋体"/>
                <w:position w:val="-6"/>
                <w:sz w:val="20"/>
                <w:szCs w:val="20"/>
                <w:lang w:eastAsia="en-US" w:bidi="ar"/>
              </w:rPr>
              <w:drawing>
                <wp:inline distT="0" distB="0" distL="114300" distR="114300">
                  <wp:extent cx="262255" cy="158750"/>
                  <wp:effectExtent l="0" t="0" r="7620" b="0"/>
                  <wp:docPr id="4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5"/>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62255" cy="158750"/>
                          </a:xfrm>
                          <a:prstGeom prst="rect">
                            <a:avLst/>
                          </a:prstGeom>
                          <a:noFill/>
                          <a:ln>
                            <a:noFill/>
                          </a:ln>
                        </pic:spPr>
                      </pic:pic>
                    </a:graphicData>
                  </a:graphic>
                </wp:inline>
              </w:drawing>
            </w:r>
            <w:r>
              <w:rPr>
                <w:rFonts w:ascii="Times New Roman" w:hAnsi="Times New Roman" w:eastAsia="宋体"/>
                <w:sz w:val="20"/>
                <w:szCs w:val="20"/>
                <w:lang w:bidi="ar"/>
              </w:rPr>
              <w:t xml:space="preserve"> from the value of </w:t>
            </w:r>
            <w:r>
              <w:rPr>
                <w:rFonts w:ascii="Times New Roman" w:hAnsi="Times New Roman" w:eastAsia="宋体"/>
                <w:i/>
                <w:sz w:val="20"/>
                <w:szCs w:val="20"/>
                <w:lang w:bidi="ar"/>
              </w:rPr>
              <w:t>ssb-PositionsInBurst</w:t>
            </w:r>
            <w:r>
              <w:rPr>
                <w:rFonts w:ascii="Times New Roman" w:hAnsi="Times New Roman" w:eastAsia="宋体"/>
                <w:sz w:val="20"/>
                <w:szCs w:val="20"/>
                <w:lang w:bidi="ar"/>
              </w:rPr>
              <w:t xml:space="preserve"> in </w:t>
            </w:r>
            <w:r>
              <w:rPr>
                <w:rFonts w:ascii="Times New Roman" w:hAnsi="Times New Roman" w:eastAsia="宋体"/>
                <w:i/>
                <w:sz w:val="20"/>
                <w:szCs w:val="20"/>
                <w:lang w:bidi="ar"/>
              </w:rPr>
              <w:t>SIB1</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 xml:space="preserve">ServingCellConfigCommon </w:t>
            </w:r>
            <w:r>
              <w:rPr>
                <w:rFonts w:ascii="Times New Roman" w:hAnsi="Times New Roman" w:eastAsia="宋体"/>
                <w:sz w:val="20"/>
                <w:szCs w:val="20"/>
                <w:lang w:bidi="ar"/>
              </w:rPr>
              <w:t xml:space="preserve">or in </w:t>
            </w:r>
            <w:r>
              <w:rPr>
                <w:rFonts w:ascii="Times New Roman" w:hAnsi="Times New Roman" w:eastAsia="宋体"/>
                <w:i/>
                <w:iCs/>
                <w:sz w:val="20"/>
                <w:szCs w:val="20"/>
                <w:lang w:bidi="ar"/>
              </w:rPr>
              <w:t>SSB-MTC-AdditionalPCI</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LTM-SSB-Config</w:t>
            </w:r>
            <w:r>
              <w:rPr>
                <w:rFonts w:ascii="Times New Roman" w:hAnsi="Times New Roman" w:eastAsia="宋体"/>
                <w:sz w:val="20"/>
                <w:szCs w:val="20"/>
                <w:lang w:bidi="ar"/>
              </w:rPr>
              <w:t xml:space="preserve">. If after an integer number of SS/PBCH block indexes to PRACH occasions mapping cycles within the association period there is a set of PRACH occasions </w:t>
            </w:r>
            <w:r>
              <w:rPr>
                <w:rFonts w:ascii="Times New Roman" w:hAnsi="Times New Roman" w:eastAsia="宋体"/>
                <w:color w:val="000000"/>
                <w:sz w:val="20"/>
                <w:szCs w:val="20"/>
                <w:lang w:bidi="ar"/>
              </w:rPr>
              <w:t>or PRACH preambles</w:t>
            </w:r>
            <w:r>
              <w:rPr>
                <w:rFonts w:ascii="Times New Roman" w:hAnsi="Times New Roman" w:eastAsia="宋体"/>
                <w:sz w:val="20"/>
                <w:szCs w:val="20"/>
                <w:lang w:bidi="ar"/>
              </w:rPr>
              <w:t xml:space="preserve"> that are not mapped to </w:t>
            </w:r>
            <w:r>
              <w:rPr>
                <w:rFonts w:ascii="Times New Roman" w:hAnsi="Times New Roman" w:eastAsia="宋体"/>
                <w:position w:val="-6"/>
                <w:sz w:val="20"/>
                <w:szCs w:val="20"/>
                <w:lang w:eastAsia="en-US" w:bidi="ar"/>
              </w:rPr>
              <w:drawing>
                <wp:inline distT="0" distB="0" distL="114300" distR="114300">
                  <wp:extent cx="262255" cy="158750"/>
                  <wp:effectExtent l="0" t="0" r="7620" b="0"/>
                  <wp:docPr id="4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6"/>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62255" cy="158750"/>
                          </a:xfrm>
                          <a:prstGeom prst="rect">
                            <a:avLst/>
                          </a:prstGeom>
                          <a:noFill/>
                          <a:ln>
                            <a:noFill/>
                          </a:ln>
                        </pic:spPr>
                      </pic:pic>
                    </a:graphicData>
                  </a:graphic>
                </wp:inline>
              </w:drawing>
            </w:r>
            <w:r>
              <w:rPr>
                <w:rFonts w:ascii="Times New Roman" w:hAnsi="Times New Roman" w:eastAsia="宋体"/>
                <w:sz w:val="20"/>
                <w:szCs w:val="20"/>
                <w:lang w:bidi="ar"/>
              </w:rPr>
              <w:t xml:space="preserve"> SS/PBCH block indexes, no SS/PBCH block indexes are mapped to the set of PRACH occasions</w:t>
            </w:r>
            <w:r>
              <w:rPr>
                <w:rFonts w:ascii="Times New Roman" w:hAnsi="Times New Roman" w:eastAsia="宋体"/>
                <w:color w:val="000000"/>
                <w:sz w:val="20"/>
                <w:szCs w:val="20"/>
                <w:lang w:bidi="ar"/>
              </w:rPr>
              <w:t xml:space="preserve"> or PRACH preambles</w:t>
            </w:r>
            <w:r>
              <w:rPr>
                <w:rFonts w:ascii="Times New Roman" w:hAnsi="Times New Roman" w:eastAsia="宋体"/>
                <w:sz w:val="20"/>
                <w:szCs w:val="20"/>
                <w:lang w:bidi="ar"/>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pPr>
              <w:spacing w:after="120" w:line="240" w:lineRule="exact"/>
              <w:jc w:val="center"/>
              <w:rPr>
                <w:rFonts w:ascii="Times New Roman" w:hAnsi="Times New Roman" w:eastAsia="宋体"/>
                <w:sz w:val="20"/>
                <w:szCs w:val="20"/>
                <w:lang w:bidi="ar"/>
              </w:rPr>
            </w:pPr>
            <w:r>
              <w:rPr>
                <w:rFonts w:ascii="Times New Roman" w:hAnsi="Times New Roman" w:eastAsia="PMingLiU"/>
                <w:color w:val="FF0000"/>
                <w:sz w:val="20"/>
                <w:lang w:eastAsia="zh-TW" w:bidi="ar"/>
              </w:rPr>
              <w:t>&lt; Unchanged parts are omitted &gt;</w:t>
            </w:r>
          </w:p>
          <w:p>
            <w:pPr>
              <w:spacing w:after="120" w:line="240" w:lineRule="exact"/>
            </w:pPr>
            <w:bookmarkStart w:id="22" w:name="_Hlk29801864"/>
            <w:r>
              <w:rPr>
                <w:rFonts w:ascii="Times New Roman" w:hAnsi="Times New Roman" w:eastAsia="宋体"/>
                <w:sz w:val="20"/>
                <w:szCs w:val="20"/>
                <w:lang w:bidi="ar"/>
              </w:rPr>
              <w:t xml:space="preserve">For unpaired spectrum, </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if a UE is not provided </w:t>
            </w:r>
            <w:r>
              <w:rPr>
                <w:rFonts w:ascii="Times New Roman" w:hAnsi="Times New Roman" w:eastAsia="宋体" w:cs="Times New Roman"/>
                <w:i/>
                <w:sz w:val="20"/>
                <w:szCs w:val="20"/>
                <w:lang w:bidi="ar"/>
              </w:rPr>
              <w:t>tdd-UL-DL-ConfigurationCommon</w:t>
            </w:r>
            <w:r>
              <w:rPr>
                <w:rFonts w:ascii="Times New Roman" w:hAnsi="Times New Roman" w:eastAsia="宋体" w:cs="Times New Roman"/>
                <w:sz w:val="20"/>
                <w:szCs w:val="20"/>
                <w:lang w:bidi="ar"/>
              </w:rPr>
              <w:t xml:space="preserve"> for a cell, a PRACH occasion for the cell in a PRACH slot is valid if it does not precede a SS/PBCH block in the PRACH slot and starts at least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4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7"/>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symbols after a last SS/PBCH block reception symbol, where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4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8"/>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is provided in Table 8.1-2 and, if </w:t>
            </w:r>
            <w:r>
              <w:rPr>
                <w:rFonts w:ascii="Times New Roman" w:hAnsi="Times New Roman" w:eastAsia="宋体" w:cs="Times New Roman"/>
                <w:i/>
                <w:iCs/>
                <w:sz w:val="20"/>
                <w:szCs w:val="20"/>
                <w:lang w:bidi="ar"/>
              </w:rPr>
              <w:t>channelAccessMode</w:t>
            </w:r>
            <w:r>
              <w:rPr>
                <w:rFonts w:ascii="Times New Roman" w:hAnsi="Times New Roman" w:eastAsia="宋体" w:cs="Times New Roman"/>
                <w:sz w:val="20"/>
                <w:szCs w:val="20"/>
                <w:lang w:bidi="ar"/>
              </w:rPr>
              <w:t xml:space="preserve"> = "</w:t>
            </w:r>
            <w:r>
              <w:rPr>
                <w:rFonts w:ascii="Times New Roman" w:hAnsi="Times New Roman" w:eastAsia="宋体" w:cs="Times New Roman"/>
                <w:i/>
                <w:iCs/>
                <w:sz w:val="20"/>
                <w:szCs w:val="20"/>
                <w:lang w:bidi="ar"/>
              </w:rPr>
              <w:t>semiStatic</w:t>
            </w:r>
            <w:r>
              <w:rPr>
                <w:rFonts w:ascii="Times New Roman" w:hAnsi="Times New Roman" w:eastAsia="宋体" w:cs="Times New Roman"/>
                <w:sz w:val="20"/>
                <w:szCs w:val="20"/>
                <w:lang w:bidi="ar"/>
              </w:rPr>
              <w:t>" is provided, does not overlap with a set of consecutive symbols before the start of a next channel occupancy time where the UE does not transmit [15, TS 37.213]</w:t>
            </w:r>
          </w:p>
          <w:p>
            <w:pPr>
              <w:pStyle w:val="26"/>
              <w:spacing w:after="120" w:line="240" w:lineRule="exact"/>
              <w:ind w:left="851" w:hanging="284"/>
              <w:rPr>
                <w:rFonts w:eastAsia="MS Mincho"/>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the</w:t>
            </w:r>
            <w:r>
              <w:rPr>
                <w:rFonts w:ascii="Times New Roman" w:hAnsi="Times New Roman" w:eastAsia="MS Mincho" w:cs="Times New Roman"/>
                <w:sz w:val="20"/>
                <w:szCs w:val="20"/>
                <w:lang w:bidi="ar"/>
              </w:rPr>
              <w:t xml:space="preserve"> candidate SS/PBCH block</w:t>
            </w:r>
            <w:r>
              <w:rPr>
                <w:rFonts w:ascii="Times New Roman" w:hAnsi="Times New Roman" w:eastAsia="宋体" w:cs="Times New Roman"/>
                <w:sz w:val="20"/>
                <w:szCs w:val="20"/>
                <w:lang w:bidi="ar"/>
              </w:rPr>
              <w:t xml:space="preserve"> index of the SS/PBCH block </w:t>
            </w:r>
            <w:r>
              <w:rPr>
                <w:rFonts w:ascii="Times New Roman" w:hAnsi="Times New Roman" w:eastAsia="MS Mincho" w:cs="Times New Roman"/>
                <w:sz w:val="20"/>
                <w:szCs w:val="20"/>
                <w:lang w:bidi="ar"/>
              </w:rPr>
              <w:t>corresponds to the SS/PBCH block index</w:t>
            </w:r>
            <w:r>
              <w:rPr>
                <w:rFonts w:ascii="Times New Roman" w:hAnsi="Times New Roman" w:eastAsia="宋体" w:cs="Times New Roman"/>
                <w:sz w:val="20"/>
                <w:szCs w:val="20"/>
                <w:lang w:bidi="ar"/>
              </w:rPr>
              <w:t xml:space="preserve"> provided by </w:t>
            </w:r>
            <w:r>
              <w:rPr>
                <w:rFonts w:ascii="Times New Roman" w:hAnsi="Times New Roman" w:eastAsia="宋体" w:cs="Times New Roman"/>
                <w:i/>
                <w:sz w:val="20"/>
                <w:szCs w:val="20"/>
                <w:lang w:bidi="ar"/>
              </w:rPr>
              <w:t>ssb-PositionsInBurst</w:t>
            </w:r>
            <w:r>
              <w:rPr>
                <w:rFonts w:ascii="Times New Roman" w:hAnsi="Times New Roman" w:eastAsia="宋体" w:cs="Times New Roman"/>
                <w:sz w:val="20"/>
                <w:szCs w:val="20"/>
                <w:lang w:bidi="ar"/>
              </w:rPr>
              <w:t xml:space="preserve"> in </w:t>
            </w:r>
            <w:r>
              <w:rPr>
                <w:rFonts w:ascii="Times New Roman" w:hAnsi="Times New Roman" w:eastAsia="宋体" w:cs="Times New Roman"/>
                <w:i/>
                <w:sz w:val="20"/>
                <w:szCs w:val="20"/>
                <w:lang w:bidi="ar"/>
              </w:rPr>
              <w:t>SIB1</w:t>
            </w:r>
            <w:r>
              <w:rPr>
                <w:rFonts w:ascii="Times New Roman" w:hAnsi="Times New Roman" w:eastAsia="宋体" w:cs="Times New Roman"/>
                <w:sz w:val="20"/>
                <w:szCs w:val="20"/>
                <w:lang w:bidi="ar"/>
              </w:rPr>
              <w:t xml:space="preserve"> or in </w:t>
            </w:r>
            <w:r>
              <w:rPr>
                <w:rFonts w:ascii="Times New Roman" w:hAnsi="Times New Roman" w:eastAsia="宋体" w:cs="Times New Roman"/>
                <w:i/>
                <w:sz w:val="20"/>
                <w:szCs w:val="20"/>
                <w:lang w:bidi="ar"/>
              </w:rPr>
              <w:t xml:space="preserve">ServingCellConfigCommon </w:t>
            </w:r>
            <w:r>
              <w:rPr>
                <w:rFonts w:ascii="Times New Roman" w:hAnsi="Times New Roman" w:eastAsia="宋体" w:cs="Times New Roman"/>
                <w:iCs/>
                <w:sz w:val="20"/>
                <w:szCs w:val="20"/>
                <w:lang w:bidi="ar"/>
              </w:rPr>
              <w:t>or in</w:t>
            </w:r>
            <w:r>
              <w:rPr>
                <w:rFonts w:ascii="Times New Roman" w:hAnsi="Times New Roman" w:eastAsia="宋体" w:cs="Times New Roman"/>
                <w:i/>
                <w:sz w:val="20"/>
                <w:szCs w:val="20"/>
                <w:lang w:bidi="ar"/>
              </w:rPr>
              <w:t xml:space="preserve"> SSB-MTC-AdditionalPCI </w:t>
            </w:r>
            <w:r>
              <w:rPr>
                <w:rFonts w:ascii="Times New Roman" w:hAnsi="Times New Roman" w:eastAsia="宋体" w:cs="Times New Roman"/>
                <w:iCs/>
                <w:sz w:val="20"/>
                <w:szCs w:val="20"/>
                <w:lang w:bidi="ar"/>
              </w:rPr>
              <w:t>corresponding to the cell</w:t>
            </w:r>
            <w:r>
              <w:rPr>
                <w:rFonts w:ascii="Times New Roman" w:hAnsi="Times New Roman" w:eastAsia="宋体" w:cs="Times New Roman"/>
                <w:i/>
                <w:iCs/>
                <w:sz w:val="20"/>
                <w:szCs w:val="20"/>
                <w:lang w:bidi="ar"/>
              </w:rPr>
              <w:t xml:space="preserve">, </w:t>
            </w:r>
            <w:r>
              <w:rPr>
                <w:rFonts w:ascii="Times New Roman" w:hAnsi="Times New Roman" w:eastAsia="MS Mincho" w:cs="Times New Roman"/>
                <w:sz w:val="20"/>
                <w:szCs w:val="20"/>
                <w:lang w:bidi="ar"/>
              </w:rPr>
              <w:t>as described in clause 4.1</w:t>
            </w:r>
          </w:p>
          <w:p>
            <w:pPr>
              <w:pStyle w:val="26"/>
              <w:spacing w:after="120" w:line="240" w:lineRule="exact"/>
              <w:ind w:left="568" w:hanging="284"/>
              <w:rPr>
                <w:rFonts w:eastAsia="MS Mincho"/>
                <w:highlight w:val="yellow"/>
              </w:rPr>
            </w:pPr>
            <w:r>
              <w:rPr>
                <w:rFonts w:ascii="Times New Roman" w:hAnsi="Times New Roman" w:eastAsia="宋体" w:cs="Times New Roman"/>
                <w:sz w:val="20"/>
                <w:szCs w:val="20"/>
                <w:lang w:bidi="ar"/>
              </w:rPr>
              <w:t>-</w:t>
            </w:r>
            <w:r>
              <w:rPr>
                <w:rFonts w:ascii="Times New Roman" w:hAnsi="Times New Roman" w:eastAsia="宋体" w:cs="Times New Roman"/>
                <w:sz w:val="20"/>
                <w:szCs w:val="20"/>
                <w:highlight w:val="yellow"/>
                <w:lang w:bidi="ar"/>
              </w:rPr>
              <w:tab/>
            </w:r>
            <w:r>
              <w:rPr>
                <w:rFonts w:ascii="Times New Roman" w:hAnsi="Times New Roman" w:eastAsia="MS Mincho" w:cs="Times New Roman"/>
                <w:sz w:val="20"/>
                <w:szCs w:val="20"/>
                <w:highlight w:val="yellow"/>
                <w:lang w:bidi="ar"/>
              </w:rPr>
              <w:t xml:space="preserve">for </w:t>
            </w:r>
            <w:r>
              <w:rPr>
                <w:rFonts w:ascii="Times New Roman" w:hAnsi="Times New Roman" w:eastAsia="Malgun Gothic" w:cs="Times New Roman"/>
                <w:sz w:val="20"/>
                <w:szCs w:val="20"/>
                <w:highlight w:val="yellow"/>
                <w:lang w:eastAsia="ko" w:bidi="ar"/>
              </w:rPr>
              <w:t>each of the</w:t>
            </w:r>
            <w:r>
              <w:rPr>
                <w:rFonts w:ascii="Times New Roman" w:hAnsi="Times New Roman" w:eastAsia="MS Mincho" w:cs="Times New Roman"/>
                <w:sz w:val="20"/>
                <w:szCs w:val="20"/>
                <w:highlight w:val="yellow"/>
                <w:lang w:bidi="ar"/>
              </w:rPr>
              <w:t xml:space="preserve"> candidate cell</w:t>
            </w:r>
            <w:r>
              <w:rPr>
                <w:rFonts w:ascii="Times New Roman" w:hAnsi="Times New Roman" w:eastAsia="Malgun Gothic" w:cs="Times New Roman"/>
                <w:sz w:val="20"/>
                <w:szCs w:val="20"/>
                <w:highlight w:val="yellow"/>
                <w:lang w:eastAsia="ko" w:bidi="ar"/>
              </w:rPr>
              <w:t xml:space="preserve">s configured by </w:t>
            </w:r>
            <w:r>
              <w:rPr>
                <w:rFonts w:ascii="Times New Roman" w:hAnsi="Times New Roman" w:eastAsia="Malgun Gothic" w:cs="Times New Roman"/>
                <w:i/>
                <w:iCs/>
                <w:sz w:val="20"/>
                <w:szCs w:val="20"/>
                <w:highlight w:val="yellow"/>
                <w:lang w:eastAsia="ko" w:bidi="ar"/>
              </w:rPr>
              <w:t>LTM-Config</w:t>
            </w:r>
            <w:r>
              <w:rPr>
                <w:rFonts w:ascii="Times New Roman" w:hAnsi="Times New Roman" w:eastAsia="MS Mincho" w:cs="Times New Roman"/>
                <w:sz w:val="20"/>
                <w:szCs w:val="20"/>
                <w:highlight w:val="yellow"/>
                <w:lang w:bidi="ar"/>
              </w:rPr>
              <w:t xml:space="preserve">, </w:t>
            </w:r>
            <w:r>
              <w:rPr>
                <w:rFonts w:ascii="Times New Roman" w:hAnsi="Times New Roman" w:eastAsia="宋体" w:cs="Times New Roman"/>
                <w:sz w:val="20"/>
                <w:szCs w:val="20"/>
                <w:highlight w:val="yellow"/>
                <w:lang w:bidi="ar"/>
              </w:rPr>
              <w:t xml:space="preserve">if a UE is not provided </w:t>
            </w:r>
            <w:r>
              <w:rPr>
                <w:rFonts w:ascii="Times New Roman" w:hAnsi="Times New Roman" w:eastAsia="Malgun Gothic" w:cs="Times New Roman"/>
                <w:i/>
                <w:sz w:val="20"/>
                <w:szCs w:val="20"/>
                <w:highlight w:val="yellow"/>
                <w:lang w:eastAsia="ko" w:bidi="ar"/>
              </w:rPr>
              <w:t>ltm-</w:t>
            </w:r>
            <w:r>
              <w:rPr>
                <w:rFonts w:ascii="Times New Roman" w:hAnsi="Times New Roman" w:eastAsia="MS Mincho" w:cs="Times New Roman"/>
                <w:i/>
                <w:sz w:val="20"/>
                <w:szCs w:val="20"/>
                <w:highlight w:val="yellow"/>
                <w:lang w:bidi="ar"/>
              </w:rPr>
              <w:t>TDD</w:t>
            </w:r>
            <w:r>
              <w:rPr>
                <w:rFonts w:ascii="Times New Roman" w:hAnsi="Times New Roman" w:eastAsia="宋体" w:cs="mn-cs"/>
                <w:i/>
                <w:iCs/>
                <w:kern w:val="24"/>
                <w:sz w:val="20"/>
                <w:szCs w:val="20"/>
                <w:highlight w:val="yellow"/>
                <w:lang w:eastAsia="ko" w:bidi="ar"/>
              </w:rPr>
              <w:t>-UL-DL-ConfigurationCommon</w:t>
            </w:r>
            <w:r>
              <w:rPr>
                <w:rFonts w:ascii="Times New Roman" w:hAnsi="Times New Roman" w:eastAsia="宋体" w:cs="Times New Roman"/>
                <w:sz w:val="20"/>
                <w:szCs w:val="20"/>
                <w:highlight w:val="yellow"/>
                <w:lang w:bidi="ar"/>
              </w:rPr>
              <w:t xml:space="preserve">, a PRACH occasion in a PRACH slot is valid if it does not precede a SS/PBCH block in the PRACH slot and starts at least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48"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9"/>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symbols after a last SS/PBCH block reception symbol, where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4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0"/>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is provided in Table 8.1-2</w:t>
            </w:r>
          </w:p>
          <w:p>
            <w:pPr>
              <w:pStyle w:val="26"/>
              <w:spacing w:after="120" w:line="240" w:lineRule="exact"/>
              <w:ind w:left="851" w:hanging="284"/>
              <w:rPr>
                <w:rFonts w:eastAsia="MS Mincho"/>
                <w:i/>
                <w:iCs/>
              </w:rPr>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the</w:t>
            </w:r>
            <w:r>
              <w:rPr>
                <w:rFonts w:ascii="Times New Roman" w:hAnsi="Times New Roman" w:eastAsia="MS Mincho" w:cs="Times New Roman"/>
                <w:sz w:val="20"/>
                <w:szCs w:val="20"/>
                <w:highlight w:val="yellow"/>
                <w:lang w:bidi="ar"/>
              </w:rPr>
              <w:t xml:space="preserve"> SS/PBCH block</w:t>
            </w:r>
            <w:r>
              <w:rPr>
                <w:rFonts w:ascii="Times New Roman" w:hAnsi="Times New Roman" w:eastAsia="宋体" w:cs="Times New Roman"/>
                <w:sz w:val="20"/>
                <w:szCs w:val="20"/>
                <w:highlight w:val="yellow"/>
                <w:lang w:bidi="ar"/>
              </w:rPr>
              <w:t xml:space="preserve"> index of the SS/PBCH block </w:t>
            </w:r>
            <w:r>
              <w:rPr>
                <w:rFonts w:ascii="Times New Roman" w:hAnsi="Times New Roman" w:eastAsia="MS Mincho" w:cs="Times New Roman"/>
                <w:sz w:val="20"/>
                <w:szCs w:val="20"/>
                <w:highlight w:val="yellow"/>
                <w:lang w:bidi="ar"/>
              </w:rPr>
              <w:t>corresponds to the SS/PBCH block index</w:t>
            </w:r>
            <w:r>
              <w:rPr>
                <w:rFonts w:ascii="Times New Roman" w:hAnsi="Times New Roman" w:eastAsia="宋体" w:cs="Times New Roman"/>
                <w:sz w:val="20"/>
                <w:szCs w:val="20"/>
                <w:highlight w:val="yellow"/>
                <w:lang w:bidi="ar"/>
              </w:rPr>
              <w:t xml:space="preserve"> provided </w:t>
            </w:r>
            <w:r>
              <w:rPr>
                <w:rFonts w:ascii="Times New Roman" w:hAnsi="Times New Roman" w:eastAsia="宋体" w:cs="Times New Roman"/>
                <w:sz w:val="20"/>
                <w:szCs w:val="20"/>
                <w:highlight w:val="yellow"/>
                <w:lang w:eastAsia="ko" w:bidi="ar"/>
              </w:rPr>
              <w:t xml:space="preserve">by </w:t>
            </w:r>
            <w:r>
              <w:rPr>
                <w:rFonts w:ascii="Times New Roman" w:hAnsi="Times New Roman" w:eastAsia="宋体" w:cs="Times New Roman"/>
                <w:i/>
                <w:iCs/>
                <w:sz w:val="20"/>
                <w:szCs w:val="20"/>
                <w:highlight w:val="yellow"/>
                <w:lang w:eastAsia="ko" w:bidi="ar"/>
              </w:rPr>
              <w:t>ssb-PositionsInBurst</w:t>
            </w:r>
            <w:r>
              <w:rPr>
                <w:rFonts w:ascii="Times New Roman" w:hAnsi="Times New Roman" w:eastAsia="宋体" w:cs="Times New Roman"/>
                <w:sz w:val="20"/>
                <w:szCs w:val="20"/>
                <w:highlight w:val="yellow"/>
                <w:lang w:eastAsia="ko" w:bidi="ar"/>
              </w:rPr>
              <w:t xml:space="preserve"> in </w:t>
            </w:r>
            <w:r>
              <w:rPr>
                <w:rFonts w:ascii="Times New Roman" w:hAnsi="Times New Roman" w:eastAsia="宋体" w:cs="Times New Roman"/>
                <w:i/>
                <w:iCs/>
                <w:sz w:val="20"/>
                <w:szCs w:val="20"/>
                <w:highlight w:val="yellow"/>
                <w:lang w:eastAsia="ko" w:bidi="ar"/>
              </w:rPr>
              <w:t>LTM-SSB-Config</w:t>
            </w:r>
            <w:r>
              <w:rPr>
                <w:rFonts w:ascii="Times New Roman" w:hAnsi="Times New Roman" w:eastAsia="宋体" w:cs="Times New Roman"/>
                <w:sz w:val="20"/>
                <w:szCs w:val="20"/>
                <w:highlight w:val="yellow"/>
                <w:lang w:eastAsia="ko" w:bidi="ar"/>
              </w:rPr>
              <w:t xml:space="preserve"> for each of the candidate cells</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if a UE is provided </w:t>
            </w:r>
            <w:r>
              <w:rPr>
                <w:rFonts w:ascii="Times New Roman" w:hAnsi="Times New Roman" w:eastAsia="宋体" w:cs="Times New Roman"/>
                <w:i/>
                <w:sz w:val="20"/>
                <w:szCs w:val="20"/>
                <w:lang w:bidi="ar"/>
              </w:rPr>
              <w:t>tdd-UL-DL-ConfigurationCommon</w:t>
            </w:r>
            <w:r>
              <w:rPr>
                <w:rFonts w:ascii="Times New Roman" w:hAnsi="Times New Roman" w:eastAsia="宋体" w:cs="Times New Roman"/>
                <w:sz w:val="20"/>
                <w:szCs w:val="20"/>
                <w:lang w:bidi="ar"/>
              </w:rPr>
              <w:t xml:space="preserve"> for a cell, a PRACH occasion for the cell in a PRACH slot is valid if </w:t>
            </w:r>
          </w:p>
          <w:p>
            <w:pPr>
              <w:pStyle w:val="26"/>
              <w:spacing w:after="120" w:line="240" w:lineRule="exact"/>
              <w:ind w:left="851"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it is within UL symbols, or </w:t>
            </w:r>
          </w:p>
          <w:p>
            <w:pPr>
              <w:pStyle w:val="26"/>
              <w:spacing w:after="120" w:line="240" w:lineRule="exact"/>
              <w:ind w:left="851" w:hanging="284"/>
              <w:rPr>
                <w:i/>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it does not precede a SS/PBCH block in the PRACH slot and starts at least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5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6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symbols after a last downlink symbol and at least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5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symbols after a last SS/PBCH block symbol, where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3"/>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is provided in Table 8.1-2, and if </w:t>
            </w:r>
            <w:r>
              <w:rPr>
                <w:rFonts w:ascii="Times New Roman" w:hAnsi="Times New Roman" w:eastAsia="宋体" w:cs="Times New Roman"/>
                <w:i/>
                <w:sz w:val="20"/>
                <w:szCs w:val="20"/>
                <w:lang w:bidi="ar"/>
              </w:rPr>
              <w:t>channelAccessMode</w:t>
            </w:r>
            <w:r>
              <w:rPr>
                <w:rFonts w:ascii="Times New Roman" w:hAnsi="Times New Roman" w:eastAsia="宋体" w:cs="Times New Roman"/>
                <w:sz w:val="20"/>
                <w:szCs w:val="20"/>
                <w:lang w:bidi="ar"/>
              </w:rPr>
              <w:t xml:space="preserve"> = "</w:t>
            </w:r>
            <w:r>
              <w:rPr>
                <w:rFonts w:ascii="Times New Roman" w:hAnsi="Times New Roman" w:eastAsia="宋体" w:cs="Times New Roman"/>
                <w:i/>
                <w:sz w:val="20"/>
                <w:szCs w:val="20"/>
                <w:lang w:bidi="ar"/>
              </w:rPr>
              <w:t>semiStatic</w:t>
            </w:r>
            <w:r>
              <w:rPr>
                <w:rFonts w:ascii="Times New Roman" w:hAnsi="Times New Roman" w:eastAsia="宋体" w:cs="Times New Roman"/>
                <w:iCs/>
                <w:sz w:val="20"/>
                <w:szCs w:val="20"/>
                <w:lang w:bidi="ar"/>
              </w:rPr>
              <w:t xml:space="preserve">" </w:t>
            </w:r>
            <w:r>
              <w:rPr>
                <w:rFonts w:ascii="Times New Roman" w:hAnsi="Times New Roman" w:eastAsia="宋体" w:cs="Times New Roman"/>
                <w:sz w:val="20"/>
                <w:szCs w:val="20"/>
                <w:lang w:bidi="ar"/>
              </w:rPr>
              <w:t>is provided, does not overlap with a set of consecutive symbols before the start of a next channel occupancy time where there shall not be any transmissions, as described in [15, TS 37.213]</w:t>
            </w:r>
          </w:p>
          <w:p>
            <w:pPr>
              <w:pStyle w:val="26"/>
              <w:spacing w:after="120" w:line="240" w:lineRule="exact"/>
              <w:ind w:left="1135"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the </w:t>
            </w:r>
            <w:r>
              <w:rPr>
                <w:rFonts w:ascii="Times New Roman" w:hAnsi="Times New Roman" w:eastAsia="MS Mincho" w:cs="Times New Roman"/>
                <w:sz w:val="20"/>
                <w:szCs w:val="20"/>
                <w:lang w:bidi="ar"/>
              </w:rPr>
              <w:t xml:space="preserve">candidate SS/PBCH block </w:t>
            </w:r>
            <w:r>
              <w:rPr>
                <w:rFonts w:ascii="Times New Roman" w:hAnsi="Times New Roman" w:eastAsia="宋体" w:cs="Times New Roman"/>
                <w:sz w:val="20"/>
                <w:szCs w:val="20"/>
                <w:lang w:bidi="ar"/>
              </w:rPr>
              <w:t xml:space="preserve">index of the SS/PBCH block </w:t>
            </w:r>
            <w:r>
              <w:rPr>
                <w:rFonts w:ascii="Times New Roman" w:hAnsi="Times New Roman" w:eastAsia="MS Mincho" w:cs="Times New Roman"/>
                <w:sz w:val="20"/>
                <w:szCs w:val="20"/>
                <w:lang w:bidi="ar"/>
              </w:rPr>
              <w:t>corresponds to the SS/PBCH block index</w:t>
            </w:r>
            <w:r>
              <w:rPr>
                <w:rFonts w:ascii="Times New Roman" w:hAnsi="Times New Roman" w:eastAsia="宋体" w:cs="Times New Roman"/>
                <w:sz w:val="20"/>
                <w:szCs w:val="20"/>
                <w:lang w:bidi="ar"/>
              </w:rPr>
              <w:t xml:space="preserve"> provided by </w:t>
            </w:r>
            <w:r>
              <w:rPr>
                <w:rFonts w:ascii="Times New Roman" w:hAnsi="Times New Roman" w:eastAsia="宋体" w:cs="Times New Roman"/>
                <w:i/>
                <w:sz w:val="20"/>
                <w:szCs w:val="20"/>
                <w:lang w:bidi="ar"/>
              </w:rPr>
              <w:t>ssb-PositionsInBurst</w:t>
            </w:r>
            <w:r>
              <w:rPr>
                <w:rFonts w:ascii="Times New Roman" w:hAnsi="Times New Roman" w:eastAsia="宋体" w:cs="Times New Roman"/>
                <w:sz w:val="20"/>
                <w:szCs w:val="20"/>
                <w:lang w:bidi="ar"/>
              </w:rPr>
              <w:t xml:space="preserve"> in </w:t>
            </w:r>
            <w:r>
              <w:rPr>
                <w:rFonts w:ascii="Times New Roman" w:hAnsi="Times New Roman" w:eastAsia="宋体" w:cs="Times New Roman"/>
                <w:i/>
                <w:sz w:val="20"/>
                <w:szCs w:val="20"/>
                <w:lang w:bidi="ar"/>
              </w:rPr>
              <w:t>SIB1</w:t>
            </w:r>
            <w:r>
              <w:rPr>
                <w:rFonts w:ascii="Times New Roman" w:hAnsi="Times New Roman" w:eastAsia="宋体" w:cs="Times New Roman"/>
                <w:sz w:val="20"/>
                <w:szCs w:val="20"/>
                <w:lang w:bidi="ar"/>
              </w:rPr>
              <w:t xml:space="preserve"> or in </w:t>
            </w:r>
            <w:r>
              <w:rPr>
                <w:rFonts w:ascii="Times New Roman" w:hAnsi="Times New Roman" w:eastAsia="宋体" w:cs="Times New Roman"/>
                <w:i/>
                <w:sz w:val="20"/>
                <w:szCs w:val="20"/>
                <w:lang w:bidi="ar"/>
              </w:rPr>
              <w:t xml:space="preserve">ServingCellConfigCommon </w:t>
            </w:r>
            <w:r>
              <w:rPr>
                <w:rFonts w:ascii="Times New Roman" w:hAnsi="Times New Roman" w:eastAsia="宋体" w:cs="Times New Roman"/>
                <w:iCs/>
                <w:sz w:val="20"/>
                <w:szCs w:val="20"/>
                <w:lang w:bidi="ar"/>
              </w:rPr>
              <w:t>or in</w:t>
            </w:r>
            <w:r>
              <w:rPr>
                <w:rFonts w:ascii="Times New Roman" w:hAnsi="Times New Roman" w:eastAsia="宋体" w:cs="Times New Roman"/>
                <w:i/>
                <w:sz w:val="20"/>
                <w:szCs w:val="20"/>
                <w:lang w:bidi="ar"/>
              </w:rPr>
              <w:t xml:space="preserve"> SSB-MTC-AdditionalPCI </w:t>
            </w:r>
            <w:r>
              <w:rPr>
                <w:rFonts w:ascii="Times New Roman" w:hAnsi="Times New Roman" w:eastAsia="宋体" w:cs="Times New Roman"/>
                <w:iCs/>
                <w:sz w:val="20"/>
                <w:szCs w:val="20"/>
                <w:lang w:bidi="ar"/>
              </w:rPr>
              <w:t>corresponding to the cell</w:t>
            </w:r>
            <w:r>
              <w:rPr>
                <w:rFonts w:ascii="Times New Roman" w:hAnsi="Times New Roman" w:eastAsia="宋体" w:cs="Times New Roman"/>
                <w:sz w:val="20"/>
                <w:szCs w:val="20"/>
                <w:lang w:bidi="ar"/>
              </w:rPr>
              <w:t xml:space="preserve">, </w:t>
            </w:r>
            <w:r>
              <w:rPr>
                <w:rFonts w:ascii="Times New Roman" w:hAnsi="Times New Roman" w:eastAsia="MS Mincho" w:cs="Times New Roman"/>
                <w:sz w:val="20"/>
                <w:szCs w:val="20"/>
                <w:lang w:bidi="ar"/>
              </w:rPr>
              <w:t>as described in clause 4.1</w:t>
            </w:r>
            <w:r>
              <w:rPr>
                <w:rFonts w:ascii="Times New Roman" w:hAnsi="Times New Roman" w:eastAsia="宋体" w:cs="Times New Roman"/>
                <w:sz w:val="20"/>
                <w:szCs w:val="20"/>
                <w:lang w:bidi="ar"/>
              </w:rPr>
              <w:t xml:space="preserve"> </w:t>
            </w:r>
          </w:p>
          <w:p>
            <w:pPr>
              <w:pStyle w:val="26"/>
              <w:spacing w:after="120" w:line="240" w:lineRule="exact"/>
              <w:ind w:left="568" w:hanging="284"/>
              <w:rPr>
                <w:highlight w:val="yellow"/>
              </w:rPr>
            </w:pPr>
            <w:r>
              <w:rPr>
                <w:rFonts w:ascii="Times New Roman" w:hAnsi="Times New Roman" w:eastAsia="MS Mincho"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MS Mincho" w:cs="Times New Roman"/>
                <w:sz w:val="20"/>
                <w:szCs w:val="20"/>
                <w:highlight w:val="yellow"/>
                <w:lang w:bidi="ar"/>
              </w:rPr>
              <w:t xml:space="preserve">for </w:t>
            </w:r>
            <w:r>
              <w:rPr>
                <w:rFonts w:ascii="Times New Roman" w:hAnsi="Times New Roman" w:eastAsia="Malgun Gothic" w:cs="Times New Roman"/>
                <w:sz w:val="20"/>
                <w:szCs w:val="20"/>
                <w:highlight w:val="yellow"/>
                <w:lang w:eastAsia="ko" w:bidi="ar"/>
              </w:rPr>
              <w:t>each of the</w:t>
            </w:r>
            <w:r>
              <w:rPr>
                <w:rFonts w:ascii="Times New Roman" w:hAnsi="Times New Roman" w:eastAsia="MS Mincho" w:cs="Times New Roman"/>
                <w:sz w:val="20"/>
                <w:szCs w:val="20"/>
                <w:highlight w:val="yellow"/>
                <w:lang w:bidi="ar"/>
              </w:rPr>
              <w:t xml:space="preserve"> candidate cell</w:t>
            </w:r>
            <w:r>
              <w:rPr>
                <w:rFonts w:ascii="Times New Roman" w:hAnsi="Times New Roman" w:eastAsia="Malgun Gothic" w:cs="Times New Roman"/>
                <w:sz w:val="20"/>
                <w:szCs w:val="20"/>
                <w:highlight w:val="yellow"/>
                <w:lang w:eastAsia="ko" w:bidi="ar"/>
              </w:rPr>
              <w:t xml:space="preserve">s configured by </w:t>
            </w:r>
            <w:r>
              <w:rPr>
                <w:rFonts w:ascii="Times New Roman" w:hAnsi="Times New Roman" w:eastAsia="Malgun Gothic" w:cs="Times New Roman"/>
                <w:i/>
                <w:iCs/>
                <w:sz w:val="20"/>
                <w:szCs w:val="20"/>
                <w:highlight w:val="yellow"/>
                <w:lang w:eastAsia="ko" w:bidi="ar"/>
              </w:rPr>
              <w:t>LTM-config</w:t>
            </w:r>
            <w:r>
              <w:rPr>
                <w:rFonts w:ascii="Times New Roman" w:hAnsi="Times New Roman" w:eastAsia="MS Mincho" w:cs="Times New Roman"/>
                <w:sz w:val="20"/>
                <w:szCs w:val="20"/>
                <w:highlight w:val="yellow"/>
                <w:lang w:bidi="ar"/>
              </w:rPr>
              <w:t>, i</w:t>
            </w:r>
            <w:r>
              <w:rPr>
                <w:rFonts w:ascii="Times New Roman" w:hAnsi="Times New Roman" w:eastAsia="宋体" w:cs="Times New Roman"/>
                <w:sz w:val="20"/>
                <w:szCs w:val="20"/>
                <w:highlight w:val="yellow"/>
                <w:lang w:bidi="ar"/>
              </w:rPr>
              <w:t xml:space="preserve">f a UE is provided </w:t>
            </w:r>
            <w:r>
              <w:rPr>
                <w:rFonts w:ascii="Times New Roman" w:hAnsi="Times New Roman" w:eastAsia="Malgun Gothic" w:cs="Times New Roman"/>
                <w:i/>
                <w:sz w:val="20"/>
                <w:szCs w:val="20"/>
                <w:highlight w:val="yellow"/>
                <w:lang w:eastAsia="ko" w:bidi="ar"/>
              </w:rPr>
              <w:t>ltm-</w:t>
            </w:r>
            <w:r>
              <w:rPr>
                <w:rFonts w:ascii="Times New Roman" w:hAnsi="Times New Roman" w:eastAsia="MS Mincho" w:cs="Times New Roman"/>
                <w:i/>
                <w:sz w:val="20"/>
                <w:szCs w:val="20"/>
                <w:highlight w:val="yellow"/>
                <w:lang w:bidi="ar"/>
              </w:rPr>
              <w:t>tdd</w:t>
            </w:r>
            <w:r>
              <w:rPr>
                <w:rFonts w:ascii="Times New Roman" w:hAnsi="Times New Roman" w:eastAsia="宋体" w:cs="mn-cs"/>
                <w:i/>
                <w:iCs/>
                <w:kern w:val="24"/>
                <w:sz w:val="20"/>
                <w:szCs w:val="20"/>
                <w:highlight w:val="yellow"/>
                <w:lang w:eastAsia="ko" w:bidi="ar"/>
              </w:rPr>
              <w:t>-UL-DL-ConfigurationCommon</w:t>
            </w:r>
            <w:r>
              <w:rPr>
                <w:rFonts w:ascii="Times New Roman" w:hAnsi="Times New Roman" w:eastAsia="宋体" w:cs="Times New Roman"/>
                <w:sz w:val="20"/>
                <w:szCs w:val="20"/>
                <w:highlight w:val="yellow"/>
                <w:lang w:bidi="ar"/>
              </w:rPr>
              <w:t xml:space="preserve">, a PRACH occasion in a PRACH slot is valid if </w:t>
            </w:r>
          </w:p>
          <w:p>
            <w:pPr>
              <w:pStyle w:val="26"/>
              <w:spacing w:after="120" w:line="240" w:lineRule="exact"/>
              <w:ind w:left="851" w:hanging="284"/>
              <w:rPr>
                <w:highlight w:val="yellow"/>
              </w:rPr>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 xml:space="preserve">it is within UL symbols, or </w:t>
            </w:r>
          </w:p>
          <w:p>
            <w:pPr>
              <w:pStyle w:val="26"/>
              <w:spacing w:after="120" w:line="240" w:lineRule="exact"/>
              <w:ind w:left="851" w:hanging="284"/>
              <w:rPr>
                <w:i/>
                <w:highlight w:val="yellow"/>
              </w:rPr>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 xml:space="preserve">it does not precede a SS/PBCH block in the PRACH slot and starts at least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6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4"/>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symbols after a last downlink symbol and at least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6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5"/>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symbols after a last SS/PBCH block symbol, where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6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6"/>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is provided in Table 8.1-2</w:t>
            </w:r>
          </w:p>
          <w:p>
            <w:pPr>
              <w:pStyle w:val="26"/>
              <w:spacing w:after="120" w:line="240" w:lineRule="exact"/>
              <w:ind w:left="1135" w:hanging="284"/>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 xml:space="preserve">the </w:t>
            </w:r>
            <w:r>
              <w:rPr>
                <w:rFonts w:ascii="Times New Roman" w:hAnsi="Times New Roman" w:eastAsia="MS Mincho" w:cs="Times New Roman"/>
                <w:sz w:val="20"/>
                <w:szCs w:val="20"/>
                <w:highlight w:val="yellow"/>
                <w:lang w:bidi="ar"/>
              </w:rPr>
              <w:t xml:space="preserve">SS/PBCH block </w:t>
            </w:r>
            <w:r>
              <w:rPr>
                <w:rFonts w:ascii="Times New Roman" w:hAnsi="Times New Roman" w:eastAsia="宋体" w:cs="Times New Roman"/>
                <w:sz w:val="20"/>
                <w:szCs w:val="20"/>
                <w:highlight w:val="yellow"/>
                <w:lang w:bidi="ar"/>
              </w:rPr>
              <w:t xml:space="preserve">index of the SS/PBCH block </w:t>
            </w:r>
            <w:r>
              <w:rPr>
                <w:rFonts w:ascii="Times New Roman" w:hAnsi="Times New Roman" w:eastAsia="MS Mincho" w:cs="Times New Roman"/>
                <w:sz w:val="20"/>
                <w:szCs w:val="20"/>
                <w:highlight w:val="yellow"/>
                <w:lang w:bidi="ar"/>
              </w:rPr>
              <w:t>corresponds to the SS/PBCH block index</w:t>
            </w:r>
            <w:r>
              <w:rPr>
                <w:rFonts w:ascii="Times New Roman" w:hAnsi="Times New Roman" w:eastAsia="宋体" w:cs="Times New Roman"/>
                <w:sz w:val="20"/>
                <w:szCs w:val="20"/>
                <w:highlight w:val="yellow"/>
                <w:lang w:bidi="ar"/>
              </w:rPr>
              <w:t xml:space="preserve"> provided </w:t>
            </w:r>
            <w:r>
              <w:rPr>
                <w:rFonts w:ascii="Times New Roman" w:hAnsi="Times New Roman" w:eastAsia="宋体" w:cs="Times New Roman"/>
                <w:sz w:val="20"/>
                <w:szCs w:val="20"/>
                <w:highlight w:val="yellow"/>
                <w:lang w:eastAsia="ko" w:bidi="ar"/>
              </w:rPr>
              <w:t xml:space="preserve">by </w:t>
            </w:r>
            <w:r>
              <w:rPr>
                <w:rFonts w:ascii="Times New Roman" w:hAnsi="Times New Roman" w:eastAsia="宋体" w:cs="Times New Roman"/>
                <w:i/>
                <w:iCs/>
                <w:sz w:val="20"/>
                <w:szCs w:val="20"/>
                <w:highlight w:val="yellow"/>
                <w:lang w:eastAsia="ko" w:bidi="ar"/>
              </w:rPr>
              <w:t>ssb-PositionsInBurst</w:t>
            </w:r>
            <w:r>
              <w:rPr>
                <w:rFonts w:ascii="Times New Roman" w:hAnsi="Times New Roman" w:eastAsia="宋体" w:cs="Times New Roman"/>
                <w:sz w:val="20"/>
                <w:szCs w:val="20"/>
                <w:highlight w:val="yellow"/>
                <w:lang w:eastAsia="ko" w:bidi="ar"/>
              </w:rPr>
              <w:t xml:space="preserve"> in </w:t>
            </w:r>
            <w:r>
              <w:rPr>
                <w:rFonts w:ascii="Times New Roman" w:hAnsi="Times New Roman" w:eastAsia="宋体" w:cs="Times New Roman"/>
                <w:i/>
                <w:iCs/>
                <w:sz w:val="20"/>
                <w:szCs w:val="20"/>
                <w:highlight w:val="yellow"/>
                <w:lang w:eastAsia="ko" w:bidi="ar"/>
              </w:rPr>
              <w:t>LTM-SSB-Config</w:t>
            </w:r>
            <w:r>
              <w:rPr>
                <w:rFonts w:ascii="Times New Roman" w:hAnsi="Times New Roman" w:eastAsia="宋体" w:cs="Times New Roman"/>
                <w:sz w:val="20"/>
                <w:szCs w:val="20"/>
                <w:highlight w:val="yellow"/>
                <w:lang w:eastAsia="ko" w:bidi="ar"/>
              </w:rPr>
              <w:t xml:space="preserve"> for each of the candidate cells</w:t>
            </w: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lang w:bidi="ar"/>
              </w:rPr>
              <w:t xml:space="preserve"> </w:t>
            </w:r>
            <w:bookmarkEnd w:id="22"/>
          </w:p>
          <w:p>
            <w:pPr>
              <w:pStyle w:val="26"/>
              <w:spacing w:after="60" w:line="240" w:lineRule="exact"/>
              <w:ind w:left="568" w:hanging="284"/>
              <w:rPr>
                <w:rFonts w:ascii="Times New Roman" w:hAnsi="Times New Roman"/>
                <w:sz w:val="20"/>
                <w:szCs w:val="20"/>
              </w:rPr>
            </w:pP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However, RAN1 does not clearly reflect whether SSB from one candidate cell may overlap with a valid RACH occasion from another candidate cell or whether SSB from serving cell (or candidate cell) may overlap with a valid RACH occasion from candidate cell (or serving cell) in the time domain, and how to handle it once such collision </w:t>
      </w:r>
      <w:r>
        <w:rPr>
          <w:rFonts w:ascii="Times New Roman" w:hAnsi="Times New Roman"/>
          <w:sz w:val="20"/>
          <w:szCs w:val="20"/>
        </w:rPr>
        <w:t>happens</w:t>
      </w:r>
      <w:r>
        <w:rPr>
          <w:rFonts w:hint="eastAsia" w:ascii="Times New Roman" w:hAnsi="Times New Roman"/>
          <w:sz w:val="20"/>
          <w:szCs w:val="20"/>
        </w:rPr>
        <w: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the above issue, RAN4 has already confirmed and put forward a clear solution, details are as below:</w:t>
      </w:r>
    </w:p>
    <w:p>
      <w:pPr>
        <w:numPr>
          <w:ilvl w:val="0"/>
          <w:numId w:val="6"/>
        </w:num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Scenarios</w:t>
      </w:r>
      <w:r>
        <w:rPr>
          <w:rFonts w:hint="eastAsia" w:ascii="Times New Roman" w:hAnsi="Times New Roman"/>
          <w:sz w:val="20"/>
          <w:szCs w:val="20"/>
        </w:rPr>
        <w:t xml:space="preserve">: </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b/>
          <w:bCs/>
          <w:sz w:val="20"/>
          <w:szCs w:val="20"/>
        </w:rPr>
        <w:t>Scenario-1</w:t>
      </w:r>
      <w:r>
        <w:rPr>
          <w:rFonts w:hint="eastAsia" w:ascii="Times New Roman" w:hAnsi="Times New Roman"/>
          <w:sz w:val="20"/>
          <w:szCs w:val="20"/>
        </w:rPr>
        <w:t>: SSB from one candidate cell is collided with a valid RACH occasion from another candidate cell.</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b/>
          <w:bCs/>
          <w:sz w:val="20"/>
          <w:szCs w:val="20"/>
        </w:rPr>
        <w:t xml:space="preserve">Scenario-2: </w:t>
      </w:r>
      <w:r>
        <w:rPr>
          <w:rFonts w:hint="eastAsia" w:ascii="Times New Roman" w:hAnsi="Times New Roman"/>
          <w:sz w:val="20"/>
          <w:szCs w:val="20"/>
        </w:rPr>
        <w:t>SSB from serving cell is collided with a valid RACH occasion from candidate cell.</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b/>
          <w:bCs/>
          <w:sz w:val="20"/>
          <w:szCs w:val="20"/>
        </w:rPr>
        <w:t xml:space="preserve">Scenario-3: </w:t>
      </w:r>
      <w:r>
        <w:rPr>
          <w:rFonts w:hint="eastAsia" w:ascii="Times New Roman" w:hAnsi="Times New Roman"/>
          <w:sz w:val="20"/>
          <w:szCs w:val="20"/>
        </w:rPr>
        <w:t xml:space="preserve">SSB from candidate cell is collided with a valid RACH occasion from serving cell.  </w:t>
      </w:r>
    </w:p>
    <w:p>
      <w:pPr>
        <w:numPr>
          <w:ilvl w:val="0"/>
          <w:numId w:val="6"/>
        </w:num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Solution:</w:t>
      </w:r>
      <w:r>
        <w:rPr>
          <w:rFonts w:hint="eastAsia" w:ascii="Times New Roman" w:hAnsi="Times New Roman"/>
          <w:sz w:val="20"/>
          <w:szCs w:val="20"/>
        </w:rPr>
        <w:t xml:space="preserve">  </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sz w:val="20"/>
          <w:szCs w:val="20"/>
        </w:rPr>
        <w:t>If the collision for scenario-1/2/3 is outside Measurement Gap (MG), UE will transmit RACH on valid RACH occasion rather than SSB.</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sz w:val="20"/>
          <w:szCs w:val="20"/>
        </w:rPr>
        <w:t>If the collision for scenario-1/2/3 is within MG, UE can decide SSB or RACH to be transmitted and it belongs to UE</w:t>
      </w:r>
      <w:r>
        <w:rPr>
          <w:rFonts w:ascii="Times New Roman" w:hAnsi="Times New Roman"/>
          <w:sz w:val="20"/>
          <w:szCs w:val="20"/>
        </w:rPr>
        <w:t>’</w:t>
      </w:r>
      <w:r>
        <w:rPr>
          <w:rFonts w:hint="eastAsia" w:ascii="Times New Roman" w:hAnsi="Times New Roman"/>
          <w:sz w:val="20"/>
          <w:szCs w:val="20"/>
        </w:rPr>
        <w:t xml:space="preserve">s implementation behavior.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the above solution, we think that RAN1 should capture it into corresponding spec to clarify UE behavior when the collision mentioned in scenario-1/2/3 happen</w:t>
      </w:r>
      <w:r>
        <w:rPr>
          <w:rFonts w:hint="eastAsia" w:ascii="Times New Roman" w:hAnsi="Times New Roman"/>
          <w:sz w:val="20"/>
          <w:szCs w:val="20"/>
          <w:lang w:val="en-US" w:eastAsia="zh-CN"/>
        </w:rPr>
        <w:t>s</w:t>
      </w:r>
      <w:r>
        <w:rPr>
          <w:rFonts w:hint="eastAsia" w:ascii="Times New Roman" w:hAnsi="Times New Roman"/>
          <w:sz w:val="20"/>
          <w:szCs w:val="20"/>
        </w:rPr>
        <w:t xml:space="preserve">.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With the above considerations, we propose the following draft CR.</w:t>
      </w:r>
    </w:p>
    <w:tbl>
      <w:tblPr>
        <w:tblStyle w:val="29"/>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4" w:type="dxa"/>
          </w:tcPr>
          <w:p>
            <w:pPr>
              <w:pStyle w:val="3"/>
              <w:widowControl/>
              <w:numPr>
                <w:ilvl w:val="0"/>
                <w:numId w:val="0"/>
              </w:numPr>
              <w:rPr>
                <w:lang w:val="en-US"/>
              </w:rPr>
            </w:pPr>
            <w:r>
              <w:rPr>
                <w:lang w:val="en-US"/>
              </w:rPr>
              <w:t>8.1</w:t>
            </w:r>
            <w:r>
              <w:rPr>
                <w:lang w:val="en-US"/>
              </w:rPr>
              <w:tab/>
            </w:r>
            <w:r>
              <w:rPr>
                <w:lang w:val="en-US"/>
              </w:rPr>
              <w:t>Random access preamble</w:t>
            </w:r>
          </w:p>
          <w:p>
            <w:pPr>
              <w:spacing w:after="180" w:line="240" w:lineRule="exact"/>
              <w:rPr>
                <w:sz w:val="20"/>
                <w:szCs w:val="20"/>
              </w:rPr>
            </w:pPr>
            <w:r>
              <w:rPr>
                <w:rFonts w:ascii="Times New Roman" w:hAnsi="Times New Roman" w:eastAsia="宋体"/>
                <w:sz w:val="20"/>
                <w:szCs w:val="20"/>
                <w:lang w:bidi="ar"/>
              </w:rPr>
              <w:t xml:space="preserve">Physical random access procedure for a UE is triggered upon request of a PRACH transmission by higher layers or by a PDCCH order or LTM Cell Switch Command MAC CE in clause 6.1.3.75 [11, TS 38.321] for a cell. A configuration by higher layers for a PRACH transmission includes the following: </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A configuration for PRACH transmission on the cell [4, TS 38.211]. </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A preamble index, a preamble SCS, </w:t>
            </w:r>
            <w:r>
              <w:rPr>
                <w:rFonts w:ascii="等线" w:hAnsi="等线" w:eastAsia="等线" w:cs="Times New Roman"/>
                <w:position w:val="-8"/>
                <w:sz w:val="20"/>
                <w:szCs w:val="20"/>
                <w:lang w:bidi="ar"/>
              </w:rPr>
              <w:drawing>
                <wp:inline distT="0" distB="0" distL="114300" distR="114300">
                  <wp:extent cx="652145" cy="167005"/>
                  <wp:effectExtent l="0" t="0" r="14605" b="635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652145"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a corresponding RA-RNTI when applicable [11, TS 38.321], and a PRACH resource for the cell. </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A number of </w:t>
            </w:r>
            <w:r>
              <w:rPr>
                <w:rFonts w:hint="eastAsia" w:ascii="等线" w:hAnsi="等线" w:eastAsia="等线" w:cs="Times New Roman"/>
                <w:position w:val="-9"/>
                <w:sz w:val="20"/>
                <w:szCs w:val="20"/>
                <w:lang w:bidi="ar"/>
              </w:rPr>
              <w:drawing>
                <wp:inline distT="0" distB="0" distL="114300" distR="114300">
                  <wp:extent cx="731520" cy="191135"/>
                  <wp:effectExtent l="0" t="0" r="14605" b="1524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731520" cy="19113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preamble repetitions for the PRACH transmission if the UE would transmit the PRACH with repetitions. </w:t>
            </w:r>
          </w:p>
          <w:p>
            <w:pPr>
              <w:spacing w:after="180" w:line="240" w:lineRule="exact"/>
              <w:rPr>
                <w:sz w:val="20"/>
                <w:szCs w:val="20"/>
              </w:rPr>
            </w:pPr>
            <w:r>
              <w:rPr>
                <w:rFonts w:ascii="Times New Roman" w:hAnsi="Times New Roman" w:eastAsia="宋体"/>
                <w:sz w:val="20"/>
                <w:szCs w:val="20"/>
                <w:lang w:bidi="ar"/>
              </w:rPr>
              <w:t xml:space="preserve">A UE transmits a PRACH on a cell using the selected PRACH format with transmission power </w:t>
            </w:r>
            <w:r>
              <w:rPr>
                <w:rFonts w:ascii="Times New Roman" w:hAnsi="Times New Roman" w:eastAsia="宋体"/>
                <w:position w:val="-7"/>
                <w:sz w:val="20"/>
                <w:szCs w:val="20"/>
                <w:lang w:eastAsia="en-US" w:bidi="ar"/>
              </w:rPr>
              <w:drawing>
                <wp:inline distT="0" distB="0" distL="114300" distR="114300">
                  <wp:extent cx="739775" cy="167005"/>
                  <wp:effectExtent l="0" t="0" r="6350" b="635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739775" cy="167005"/>
                          </a:xfrm>
                          <a:prstGeom prst="rect">
                            <a:avLst/>
                          </a:prstGeom>
                          <a:noFill/>
                          <a:ln>
                            <a:noFill/>
                          </a:ln>
                        </pic:spPr>
                      </pic:pic>
                    </a:graphicData>
                  </a:graphic>
                </wp:inline>
              </w:drawing>
            </w:r>
            <w:r>
              <w:rPr>
                <w:rFonts w:ascii="Times New Roman" w:hAnsi="Times New Roman" w:eastAsia="宋体"/>
                <w:sz w:val="20"/>
                <w:szCs w:val="20"/>
                <w:lang w:bidi="ar"/>
              </w:rPr>
              <w:t>,</w:t>
            </w:r>
            <w:r>
              <w:rPr>
                <w:rFonts w:ascii="Times New Roman" w:hAnsi="Times New Roman" w:eastAsia="宋体"/>
                <w:sz w:val="20"/>
                <w:szCs w:val="20"/>
                <w:vertAlign w:val="subscript"/>
                <w:lang w:bidi="ar"/>
              </w:rPr>
              <w:t xml:space="preserve"> </w:t>
            </w:r>
            <w:r>
              <w:rPr>
                <w:rFonts w:ascii="Times New Roman" w:hAnsi="Times New Roman" w:eastAsia="宋体"/>
                <w:sz w:val="20"/>
                <w:szCs w:val="20"/>
                <w:lang w:bidi="ar"/>
              </w:rPr>
              <w:t>as described in clause 7.4, on the indicated PRACH resource</w:t>
            </w:r>
            <w:r>
              <w:rPr>
                <w:rFonts w:ascii="Times New Roman" w:hAnsi="Times New Roman" w:eastAsia="宋体"/>
                <w:kern w:val="2"/>
                <w:sz w:val="20"/>
                <w:szCs w:val="20"/>
                <w:lang w:bidi="ar"/>
              </w:rPr>
              <w:t xml:space="preserve"> or on a determined set of </w:t>
            </w:r>
            <w:r>
              <w:rPr>
                <w:rFonts w:ascii="Times New Roman" w:hAnsi="Times New Roman" w:eastAsia="宋体"/>
                <w:position w:val="-9"/>
                <w:sz w:val="20"/>
                <w:szCs w:val="20"/>
                <w:lang w:eastAsia="en-US" w:bidi="ar"/>
              </w:rPr>
              <w:drawing>
                <wp:inline distT="0" distB="0" distL="114300" distR="114300">
                  <wp:extent cx="501015" cy="191135"/>
                  <wp:effectExtent l="0" t="0" r="6985" b="152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501015" cy="191135"/>
                          </a:xfrm>
                          <a:prstGeom prst="rect">
                            <a:avLst/>
                          </a:prstGeom>
                          <a:noFill/>
                          <a:ln>
                            <a:noFill/>
                          </a:ln>
                        </pic:spPr>
                      </pic:pic>
                    </a:graphicData>
                  </a:graphic>
                </wp:inline>
              </w:drawing>
            </w:r>
            <w:r>
              <w:rPr>
                <w:rFonts w:ascii="Times New Roman" w:hAnsi="Times New Roman" w:eastAsia="宋体"/>
                <w:sz w:val="20"/>
                <w:szCs w:val="20"/>
                <w:lang w:bidi="ar"/>
              </w:rPr>
              <w:t xml:space="preserve"> resources using a same spatial filter in case of </w:t>
            </w:r>
            <w:r>
              <w:rPr>
                <w:rFonts w:ascii="Times New Roman" w:hAnsi="Times New Roman" w:eastAsia="宋体"/>
                <w:position w:val="-9"/>
                <w:sz w:val="20"/>
                <w:szCs w:val="20"/>
                <w:lang w:eastAsia="en-US" w:bidi="ar"/>
              </w:rPr>
              <w:drawing>
                <wp:inline distT="0" distB="0" distL="114300" distR="114300">
                  <wp:extent cx="501015" cy="191135"/>
                  <wp:effectExtent l="0" t="0" r="6985"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501015" cy="191135"/>
                          </a:xfrm>
                          <a:prstGeom prst="rect">
                            <a:avLst/>
                          </a:prstGeom>
                          <a:noFill/>
                          <a:ln>
                            <a:noFill/>
                          </a:ln>
                        </pic:spPr>
                      </pic:pic>
                    </a:graphicData>
                  </a:graphic>
                </wp:inline>
              </w:drawing>
            </w:r>
            <w:r>
              <w:rPr>
                <w:rFonts w:ascii="Times New Roman" w:hAnsi="Times New Roman" w:eastAsia="宋体"/>
                <w:sz w:val="20"/>
                <w:szCs w:val="20"/>
                <w:lang w:bidi="ar"/>
              </w:rPr>
              <w:t xml:space="preserve"> preamble repetitions.</w:t>
            </w:r>
          </w:p>
          <w:p>
            <w:pPr>
              <w:spacing w:after="180" w:line="240" w:lineRule="exact"/>
              <w:rPr>
                <w:sz w:val="20"/>
                <w:szCs w:val="20"/>
              </w:rPr>
            </w:pPr>
            <w:r>
              <w:rPr>
                <w:rFonts w:ascii="Times New Roman" w:hAnsi="Times New Roman" w:eastAsia="宋体"/>
                <w:sz w:val="20"/>
                <w:szCs w:val="20"/>
                <w:lang w:bidi="ar"/>
              </w:rPr>
              <w:t xml:space="preserve">For Type-1 random access procedure,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and a number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ssb-perRACH-OccasionAndCB-PreamblesPerSSB</w:t>
            </w:r>
            <w:r>
              <w:rPr>
                <w:rFonts w:ascii="Times New Roman" w:hAnsi="Times New Roman" w:eastAsia="宋体"/>
                <w:sz w:val="20"/>
                <w:szCs w:val="20"/>
                <w:lang w:bidi="ar"/>
              </w:rPr>
              <w:t xml:space="preserve">. </w:t>
            </w:r>
          </w:p>
          <w:p>
            <w:pPr>
              <w:spacing w:after="180" w:line="240" w:lineRule="exact"/>
              <w:rPr>
                <w:sz w:val="20"/>
                <w:szCs w:val="20"/>
              </w:rPr>
            </w:pPr>
            <w:r>
              <w:rPr>
                <w:rFonts w:ascii="Times New Roman" w:hAnsi="Times New Roman" w:eastAsia="宋体"/>
                <w:sz w:val="20"/>
                <w:szCs w:val="20"/>
                <w:lang w:bidi="ar"/>
              </w:rPr>
              <w:t xml:space="preserve">For Type-2 random access procedure with common configuration of PRACH occasions with Type-1 random access procedure,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by </w:t>
            </w:r>
            <w:r>
              <w:rPr>
                <w:rFonts w:ascii="Times New Roman" w:hAnsi="Times New Roman" w:eastAsia="宋体"/>
                <w:i/>
                <w:sz w:val="20"/>
                <w:szCs w:val="20"/>
                <w:lang w:bidi="ar"/>
              </w:rPr>
              <w:t>ssb-perRACH-OccasionAndCB-PreamblesPerSSB</w:t>
            </w:r>
            <w:r>
              <w:rPr>
                <w:rFonts w:ascii="Times New Roman" w:hAnsi="Times New Roman" w:eastAsia="宋体"/>
                <w:sz w:val="20"/>
                <w:szCs w:val="20"/>
                <w:lang w:bidi="ar"/>
              </w:rPr>
              <w:t xml:space="preserve"> and a number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msgA-CB-PreamblesPerSSB-PerSharedRO</w:t>
            </w:r>
            <w:r>
              <w:rPr>
                <w:rFonts w:ascii="Times New Roman" w:hAnsi="Times New Roman" w:eastAsia="宋体"/>
                <w:sz w:val="20"/>
                <w:szCs w:val="20"/>
                <w:lang w:bidi="ar"/>
              </w:rPr>
              <w:t xml:space="preserve">. </w:t>
            </w:r>
            <w:r>
              <w:rPr>
                <w:rFonts w:ascii="Times New Roman" w:hAnsi="Times New Roman" w:eastAsia="宋体"/>
                <w:sz w:val="20"/>
                <w:szCs w:val="20"/>
                <w:shd w:val="clear" w:color="auto" w:fill="FFFFFF"/>
                <w:lang w:bidi="ar"/>
              </w:rPr>
              <w:t xml:space="preserve">The PRACH transmission can be on a subset of PRACH occasions associated with a same SS/PBCH block index within an SSB-RO mapping cycle for a UE provided with a PRACH mask index by </w:t>
            </w:r>
            <w:r>
              <w:rPr>
                <w:rFonts w:ascii="Times New Roman" w:hAnsi="Times New Roman" w:eastAsia="宋体"/>
                <w:i/>
                <w:iCs/>
                <w:sz w:val="20"/>
                <w:szCs w:val="20"/>
                <w:shd w:val="clear" w:color="auto" w:fill="FFFFFF"/>
                <w:lang w:bidi="ar"/>
              </w:rPr>
              <w:t>msgA-SSB-SharedRO-MaskIndex</w:t>
            </w:r>
            <w:r>
              <w:rPr>
                <w:rFonts w:ascii="Times New Roman" w:hAnsi="Times New Roman" w:eastAsia="宋体"/>
                <w:sz w:val="20"/>
                <w:szCs w:val="20"/>
                <w:shd w:val="clear" w:color="auto" w:fill="FFFFFF"/>
                <w:lang w:bidi="ar"/>
              </w:rPr>
              <w:t xml:space="preserve"> according to [11, TS 38.321]</w:t>
            </w:r>
            <w:r>
              <w:rPr>
                <w:rFonts w:ascii="Times New Roman" w:hAnsi="Times New Roman" w:eastAsia="宋体"/>
                <w:sz w:val="20"/>
                <w:szCs w:val="20"/>
                <w:lang w:bidi="ar"/>
              </w:rPr>
              <w:t>.</w:t>
            </w:r>
          </w:p>
          <w:p>
            <w:pPr>
              <w:spacing w:after="180" w:line="240" w:lineRule="exact"/>
              <w:rPr>
                <w:sz w:val="20"/>
                <w:szCs w:val="20"/>
              </w:rPr>
            </w:pPr>
            <w:r>
              <w:rPr>
                <w:rFonts w:ascii="Times New Roman" w:hAnsi="Times New Roman" w:eastAsia="宋体"/>
                <w:sz w:val="20"/>
                <w:szCs w:val="20"/>
                <w:lang w:bidi="ar"/>
              </w:rPr>
              <w:t xml:space="preserve">For Type-2 random access procedure with separate configuration of PRACH occasions with Type-1 random access procedure,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and a number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msgA-SSB-PerRACH-OccasionAndCB-PreamblesPerSSB</w:t>
            </w:r>
            <w:r>
              <w:rPr>
                <w:rFonts w:ascii="Times New Roman" w:hAnsi="Times New Roman" w:eastAsia="宋体"/>
                <w:iCs/>
                <w:sz w:val="20"/>
                <w:szCs w:val="20"/>
                <w:lang w:bidi="ar"/>
              </w:rPr>
              <w:t xml:space="preserve"> when provided; otherwise, by </w:t>
            </w:r>
            <w:r>
              <w:rPr>
                <w:rFonts w:ascii="Times New Roman" w:hAnsi="Times New Roman" w:eastAsia="宋体"/>
                <w:i/>
                <w:iCs/>
                <w:sz w:val="20"/>
                <w:szCs w:val="20"/>
                <w:lang w:bidi="ar"/>
              </w:rPr>
              <w:t>ssb-perRACH-OccasionAndCB-PreamblesPerSSB</w:t>
            </w:r>
            <w:r>
              <w:rPr>
                <w:rFonts w:ascii="Times New Roman" w:hAnsi="Times New Roman" w:eastAsia="宋体"/>
                <w:sz w:val="20"/>
                <w:szCs w:val="20"/>
                <w:lang w:bidi="ar"/>
              </w:rPr>
              <w:t>.</w:t>
            </w:r>
          </w:p>
          <w:p>
            <w:pPr>
              <w:spacing w:after="180" w:line="240" w:lineRule="exact"/>
              <w:rPr>
                <w:sz w:val="20"/>
                <w:szCs w:val="20"/>
              </w:rPr>
            </w:pPr>
            <w:r>
              <w:rPr>
                <w:rFonts w:ascii="Times New Roman" w:hAnsi="Times New Roman" w:eastAsia="宋体"/>
                <w:sz w:val="20"/>
                <w:szCs w:val="20"/>
                <w:lang w:bidi="ar"/>
              </w:rPr>
              <w:t xml:space="preserve">For a random access procedure associated with a feature combination indicated by </w:t>
            </w:r>
            <w:r>
              <w:rPr>
                <w:rFonts w:ascii="Times New Roman" w:hAnsi="Times New Roman" w:eastAsia="宋体"/>
                <w:i/>
                <w:sz w:val="20"/>
                <w:szCs w:val="20"/>
                <w:lang w:bidi="ar"/>
              </w:rPr>
              <w:t>FeatureCombinationPreambles</w:t>
            </w:r>
            <w:r>
              <w:rPr>
                <w:rFonts w:ascii="Times New Roman" w:hAnsi="Times New Roman" w:eastAsia="宋体"/>
                <w:sz w:val="20"/>
                <w:szCs w:val="20"/>
                <w:lang w:bidi="ar"/>
              </w:rPr>
              <w:t xml:space="preserv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by </w:t>
            </w:r>
            <w:r>
              <w:rPr>
                <w:rFonts w:ascii="Times New Roman" w:hAnsi="Times New Roman" w:eastAsia="宋体"/>
                <w:i/>
                <w:sz w:val="20"/>
                <w:szCs w:val="20"/>
                <w:lang w:bidi="ar"/>
              </w:rPr>
              <w:t>ssb-perRACH-OccasionAndCB-PreamblesPerSSB</w:t>
            </w:r>
            <w:r>
              <w:rPr>
                <w:rFonts w:ascii="Times New Roman" w:hAnsi="Times New Roman" w:eastAsia="宋体"/>
                <w:sz w:val="20"/>
                <w:szCs w:val="20"/>
                <w:lang w:bidi="ar"/>
              </w:rPr>
              <w:t xml:space="preserve"> or </w:t>
            </w:r>
            <w:r>
              <w:rPr>
                <w:rFonts w:ascii="Times New Roman" w:hAnsi="Times New Roman" w:eastAsia="宋体"/>
                <w:i/>
                <w:sz w:val="20"/>
                <w:szCs w:val="20"/>
                <w:lang w:bidi="ar"/>
              </w:rPr>
              <w:t>msgA-SSB-PerRACH-OccasionAndCB-PreamblesPerSSB</w:t>
            </w:r>
            <w:r>
              <w:rPr>
                <w:rFonts w:ascii="Times New Roman" w:hAnsi="Times New Roman" w:eastAsia="宋体"/>
                <w:iCs/>
                <w:sz w:val="20"/>
                <w:szCs w:val="20"/>
                <w:lang w:bidi="ar"/>
              </w:rPr>
              <w:t xml:space="preserve"> when provided </w:t>
            </w:r>
            <w:r>
              <w:rPr>
                <w:rFonts w:ascii="Times New Roman" w:hAnsi="Times New Roman" w:eastAsia="宋体"/>
                <w:sz w:val="20"/>
                <w:szCs w:val="20"/>
                <w:lang w:bidi="ar"/>
              </w:rPr>
              <w:t xml:space="preserve">and a number </w:t>
            </w:r>
            <w:r>
              <w:rPr>
                <w:rFonts w:ascii="Times New Roman" w:hAnsi="Times New Roman" w:eastAsia="宋体"/>
                <w:position w:val="-6"/>
                <w:sz w:val="20"/>
                <w:szCs w:val="20"/>
                <w:lang w:eastAsia="en-US" w:bidi="ar"/>
              </w:rPr>
              <w:drawing>
                <wp:inline distT="0" distB="0" distL="114300" distR="114300">
                  <wp:extent cx="71755" cy="151130"/>
                  <wp:effectExtent l="0" t="0" r="7620" b="635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71755"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startPreambleForThisPartition</w:t>
            </w:r>
            <w:r>
              <w:rPr>
                <w:rFonts w:ascii="Times New Roman" w:hAnsi="Times New Roman" w:eastAsia="宋体"/>
                <w:sz w:val="20"/>
                <w:szCs w:val="20"/>
                <w:lang w:bidi="ar"/>
              </w:rPr>
              <w:t xml:space="preserve"> and </w:t>
            </w:r>
            <w:r>
              <w:rPr>
                <w:rFonts w:ascii="Times New Roman" w:hAnsi="Times New Roman" w:eastAsia="宋体"/>
                <w:i/>
                <w:sz w:val="20"/>
                <w:szCs w:val="20"/>
                <w:lang w:bidi="ar"/>
              </w:rPr>
              <w:t>numberOfPreamblesPerSSB-ForThisPartition</w:t>
            </w:r>
            <w:r>
              <w:rPr>
                <w:rFonts w:ascii="Times New Roman" w:hAnsi="Times New Roman" w:eastAsia="宋体"/>
                <w:sz w:val="20"/>
                <w:szCs w:val="20"/>
                <w:lang w:bidi="ar"/>
              </w:rPr>
              <w:t xml:space="preserve">. </w:t>
            </w:r>
            <w:r>
              <w:rPr>
                <w:rFonts w:ascii="Times New Roman" w:hAnsi="Times New Roman" w:eastAsia="宋体"/>
                <w:sz w:val="20"/>
                <w:szCs w:val="20"/>
                <w:shd w:val="clear" w:color="auto" w:fill="FFFFFF"/>
                <w:lang w:bidi="ar"/>
              </w:rPr>
              <w:t xml:space="preserve">The PRACH transmission can be on a subset of PRACH occasions associated with a same SS/PBCH block index within an SSB-RO mapping cycle for a UE provided with a PRACH mask index by </w:t>
            </w:r>
            <w:r>
              <w:rPr>
                <w:rFonts w:ascii="Times New Roman" w:hAnsi="Times New Roman" w:eastAsia="宋体"/>
                <w:i/>
                <w:sz w:val="20"/>
                <w:szCs w:val="20"/>
                <w:lang w:bidi="ar"/>
              </w:rPr>
              <w:t>ssb-SharedRO-MaskIndex</w:t>
            </w:r>
            <w:r>
              <w:rPr>
                <w:rFonts w:ascii="Times New Roman" w:hAnsi="Times New Roman" w:eastAsia="宋体"/>
                <w:sz w:val="20"/>
                <w:szCs w:val="20"/>
                <w:shd w:val="clear" w:color="auto" w:fill="FFFFFF"/>
                <w:lang w:bidi="ar"/>
              </w:rPr>
              <w:t xml:space="preserve"> according to [11, TS 38.321]</w:t>
            </w:r>
            <w:r>
              <w:rPr>
                <w:rFonts w:ascii="Times New Roman" w:hAnsi="Times New Roman" w:eastAsia="宋体"/>
                <w:sz w:val="20"/>
                <w:szCs w:val="20"/>
                <w:lang w:bidi="ar"/>
              </w:rPr>
              <w:t>.</w:t>
            </w:r>
          </w:p>
          <w:p>
            <w:pPr>
              <w:spacing w:after="180" w:line="240" w:lineRule="exact"/>
              <w:rPr>
                <w:sz w:val="20"/>
                <w:szCs w:val="20"/>
              </w:rPr>
            </w:pPr>
            <w:r>
              <w:rPr>
                <w:rFonts w:ascii="Times New Roman" w:hAnsi="Times New Roman" w:eastAsia="宋体"/>
                <w:sz w:val="20"/>
                <w:szCs w:val="20"/>
                <w:lang w:bidi="ar"/>
              </w:rPr>
              <w:t xml:space="preserve">For Type-1 random access procedure, or for Type-2 random access procedure with separate configuration of PRACH occasions from Type 1 random access procedure,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one SS/PBCH block index is mapped to </w:t>
            </w:r>
            <w:r>
              <w:rPr>
                <w:rFonts w:ascii="Times New Roman" w:hAnsi="Times New Roman" w:eastAsia="宋体"/>
                <w:position w:val="-6"/>
                <w:sz w:val="20"/>
                <w:szCs w:val="20"/>
                <w:lang w:eastAsia="en-US" w:bidi="ar"/>
              </w:rPr>
              <w:drawing>
                <wp:inline distT="0" distB="0" distL="114300" distR="114300">
                  <wp:extent cx="238760" cy="151130"/>
                  <wp:effectExtent l="0" t="0" r="15240" b="6350"/>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8"/>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38760" cy="151130"/>
                          </a:xfrm>
                          <a:prstGeom prst="rect">
                            <a:avLst/>
                          </a:prstGeom>
                          <a:noFill/>
                          <a:ln>
                            <a:noFill/>
                          </a:ln>
                        </pic:spPr>
                      </pic:pic>
                    </a:graphicData>
                  </a:graphic>
                </wp:inline>
              </w:drawing>
            </w:r>
            <w:r>
              <w:rPr>
                <w:rFonts w:ascii="Times New Roman" w:hAnsi="Times New Roman" w:eastAsia="宋体"/>
                <w:sz w:val="20"/>
                <w:szCs w:val="20"/>
                <w:lang w:bidi="ar"/>
              </w:rPr>
              <w:t xml:space="preserve"> consecutive valid PRACH occasions and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1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9"/>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the SS/PBCH block index per valid PRACH occasion start from preamble index 0.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1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1"/>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SS/PBCH block index </w:t>
            </w:r>
            <w:r>
              <w:rPr>
                <w:rFonts w:ascii="Times New Roman" w:hAnsi="Times New Roman" w:eastAsia="宋体"/>
                <w:position w:val="-6"/>
                <w:sz w:val="20"/>
                <w:szCs w:val="20"/>
                <w:lang w:eastAsia="en-US" w:bidi="ar"/>
              </w:rPr>
              <w:drawing>
                <wp:inline distT="0" distB="0" distL="114300" distR="114300">
                  <wp:extent cx="71755" cy="151130"/>
                  <wp:effectExtent l="0" t="0" r="7620" b="4445"/>
                  <wp:docPr id="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71755"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795020" cy="151130"/>
                  <wp:effectExtent l="0" t="0" r="14605" b="6350"/>
                  <wp:docPr id="2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795020" cy="151130"/>
                          </a:xfrm>
                          <a:prstGeom prst="rect">
                            <a:avLst/>
                          </a:prstGeom>
                          <a:noFill/>
                          <a:ln>
                            <a:noFill/>
                          </a:ln>
                        </pic:spPr>
                      </pic:pic>
                    </a:graphicData>
                  </a:graphic>
                </wp:inline>
              </w:drawing>
            </w:r>
            <w:r>
              <w:rPr>
                <w:rFonts w:ascii="Times New Roman" w:hAnsi="Times New Roman" w:eastAsia="宋体"/>
                <w:sz w:val="20"/>
                <w:szCs w:val="20"/>
                <w:lang w:bidi="ar"/>
              </w:rPr>
              <w:t xml:space="preserve">, per valid PRACH occasion start from preamble index </w:t>
            </w:r>
            <w:r>
              <w:rPr>
                <w:rFonts w:ascii="Times New Roman" w:hAnsi="Times New Roman" w:eastAsia="宋体"/>
                <w:position w:val="-8"/>
                <w:sz w:val="20"/>
                <w:szCs w:val="20"/>
                <w:lang w:eastAsia="en-US" w:bidi="ar"/>
              </w:rPr>
              <w:drawing>
                <wp:inline distT="0" distB="0" distL="114300" distR="114300">
                  <wp:extent cx="826770" cy="182880"/>
                  <wp:effectExtent l="0" t="0" r="14605" b="6985"/>
                  <wp:docPr id="2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4"/>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826770" cy="182880"/>
                          </a:xfrm>
                          <a:prstGeom prst="rect">
                            <a:avLst/>
                          </a:prstGeom>
                          <a:noFill/>
                          <a:ln>
                            <a:noFill/>
                          </a:ln>
                        </pic:spPr>
                      </pic:pic>
                    </a:graphicData>
                  </a:graphic>
                </wp:inline>
              </w:drawing>
            </w:r>
            <w:r>
              <w:rPr>
                <w:rFonts w:ascii="Times New Roman" w:hAnsi="Times New Roman" w:eastAsia="宋体"/>
                <w:sz w:val="20"/>
                <w:szCs w:val="20"/>
                <w:lang w:bidi="ar"/>
              </w:rPr>
              <w:t xml:space="preserve"> where </w:t>
            </w:r>
            <w:r>
              <w:rPr>
                <w:rFonts w:ascii="Times New Roman" w:hAnsi="Times New Roman" w:eastAsia="宋体"/>
                <w:position w:val="-8"/>
                <w:sz w:val="20"/>
                <w:szCs w:val="20"/>
                <w:lang w:eastAsia="en-US" w:bidi="ar"/>
              </w:rPr>
              <w:drawing>
                <wp:inline distT="0" distB="0" distL="114300" distR="114300">
                  <wp:extent cx="501015" cy="182880"/>
                  <wp:effectExtent l="0" t="0" r="6985" b="6985"/>
                  <wp:docPr id="2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501015" cy="182880"/>
                          </a:xfrm>
                          <a:prstGeom prst="rect">
                            <a:avLst/>
                          </a:prstGeom>
                          <a:noFill/>
                          <a:ln>
                            <a:noFill/>
                          </a:ln>
                        </pic:spPr>
                      </pic:pic>
                    </a:graphicData>
                  </a:graphic>
                </wp:inline>
              </w:drawing>
            </w:r>
            <w:r>
              <w:rPr>
                <w:rFonts w:ascii="Times New Roman" w:hAnsi="Times New Roman" w:eastAsia="宋体"/>
                <w:sz w:val="20"/>
                <w:szCs w:val="20"/>
                <w:lang w:bidi="ar"/>
              </w:rPr>
              <w:t xml:space="preserve"> is provided by </w:t>
            </w:r>
            <w:r>
              <w:rPr>
                <w:rFonts w:ascii="Times New Roman" w:hAnsi="Times New Roman" w:eastAsia="宋体"/>
                <w:i/>
                <w:sz w:val="20"/>
                <w:szCs w:val="20"/>
                <w:lang w:bidi="ar"/>
              </w:rPr>
              <w:t>totalNumberOfRA-Preambles</w:t>
            </w:r>
            <w:r>
              <w:rPr>
                <w:rFonts w:ascii="Times New Roman" w:hAnsi="Times New Roman" w:eastAsia="宋体"/>
                <w:sz w:val="20"/>
                <w:szCs w:val="20"/>
                <w:lang w:bidi="ar"/>
              </w:rPr>
              <w:t xml:space="preserve"> for Type-1 random access procedure, or by </w:t>
            </w:r>
            <w:r>
              <w:rPr>
                <w:rFonts w:ascii="Times New Roman" w:hAnsi="Times New Roman" w:eastAsia="宋体"/>
                <w:i/>
                <w:sz w:val="20"/>
                <w:szCs w:val="20"/>
                <w:lang w:bidi="ar"/>
              </w:rPr>
              <w:t>msgA-TotalNumberOfRA-Preambles</w:t>
            </w:r>
            <w:r>
              <w:rPr>
                <w:rFonts w:ascii="Times New Roman" w:hAnsi="Times New Roman" w:eastAsia="宋体"/>
                <w:sz w:val="20"/>
                <w:szCs w:val="20"/>
                <w:lang w:bidi="ar"/>
              </w:rPr>
              <w:t xml:space="preserve"> for Type-2 random access procedure with separate configuration of PRACH occasions from a Type 1 random access procedure, and is an integer multiple of </w:t>
            </w:r>
            <w:r>
              <w:rPr>
                <w:rFonts w:ascii="Times New Roman" w:hAnsi="Times New Roman" w:eastAsia="宋体"/>
                <w:position w:val="-6"/>
                <w:sz w:val="20"/>
                <w:szCs w:val="20"/>
                <w:lang w:eastAsia="en-US" w:bidi="ar"/>
              </w:rPr>
              <w:drawing>
                <wp:inline distT="0" distB="0" distL="114300" distR="114300">
                  <wp:extent cx="95250" cy="151130"/>
                  <wp:effectExtent l="0" t="0" r="0" b="635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p>
          <w:p>
            <w:pPr>
              <w:spacing w:after="180" w:line="240" w:lineRule="exact"/>
              <w:rPr>
                <w:sz w:val="20"/>
                <w:szCs w:val="20"/>
              </w:rPr>
            </w:pPr>
            <w:r>
              <w:rPr>
                <w:rFonts w:ascii="Times New Roman" w:hAnsi="Times New Roman" w:eastAsia="宋体"/>
                <w:sz w:val="20"/>
                <w:szCs w:val="20"/>
                <w:lang w:bidi="ar"/>
              </w:rPr>
              <w:t xml:space="preserve">For Type-2 random access procedure with common configuration of PRACH occasions with Type-1 random access procedure,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3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7"/>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one SS/PBCH block index is mapped to </w:t>
            </w:r>
            <w:r>
              <w:rPr>
                <w:rFonts w:ascii="Times New Roman" w:hAnsi="Times New Roman" w:eastAsia="宋体"/>
                <w:position w:val="-6"/>
                <w:sz w:val="20"/>
                <w:szCs w:val="20"/>
                <w:lang w:eastAsia="en-US" w:bidi="ar"/>
              </w:rPr>
              <w:drawing>
                <wp:inline distT="0" distB="0" distL="114300" distR="114300">
                  <wp:extent cx="238760" cy="151130"/>
                  <wp:effectExtent l="0" t="0" r="15240" b="6350"/>
                  <wp:docPr id="2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8"/>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38760" cy="151130"/>
                          </a:xfrm>
                          <a:prstGeom prst="rect">
                            <a:avLst/>
                          </a:prstGeom>
                          <a:noFill/>
                          <a:ln>
                            <a:noFill/>
                          </a:ln>
                        </pic:spPr>
                      </pic:pic>
                    </a:graphicData>
                  </a:graphic>
                </wp:inline>
              </w:drawing>
            </w:r>
            <w:r>
              <w:rPr>
                <w:rFonts w:ascii="Times New Roman" w:hAnsi="Times New Roman" w:eastAsia="宋体"/>
                <w:sz w:val="20"/>
                <w:szCs w:val="20"/>
                <w:lang w:bidi="ar"/>
              </w:rPr>
              <w:t xml:space="preserve"> consecutive valid PRACH occasions and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4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9"/>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the SS/PBCH block index per valid PRACH occasion start from preamble index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3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0"/>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3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1"/>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2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SS/PBCH block index </w:t>
            </w:r>
            <w:r>
              <w:rPr>
                <w:rFonts w:ascii="Times New Roman" w:hAnsi="Times New Roman" w:eastAsia="宋体"/>
                <w:position w:val="-6"/>
                <w:sz w:val="20"/>
                <w:szCs w:val="20"/>
                <w:lang w:eastAsia="en-US" w:bidi="ar"/>
              </w:rPr>
              <w:drawing>
                <wp:inline distT="0" distB="0" distL="114300" distR="114300">
                  <wp:extent cx="71755" cy="151130"/>
                  <wp:effectExtent l="0" t="0" r="7620" b="4445"/>
                  <wp:docPr id="2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71755"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795020" cy="151130"/>
                  <wp:effectExtent l="0" t="0" r="14605"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795020" cy="151130"/>
                          </a:xfrm>
                          <a:prstGeom prst="rect">
                            <a:avLst/>
                          </a:prstGeom>
                          <a:noFill/>
                          <a:ln>
                            <a:noFill/>
                          </a:ln>
                        </pic:spPr>
                      </pic:pic>
                    </a:graphicData>
                  </a:graphic>
                </wp:inline>
              </w:drawing>
            </w:r>
            <w:r>
              <w:rPr>
                <w:rFonts w:ascii="Times New Roman" w:hAnsi="Times New Roman" w:eastAsia="宋体"/>
                <w:sz w:val="20"/>
                <w:szCs w:val="20"/>
                <w:lang w:bidi="ar"/>
              </w:rPr>
              <w:t xml:space="preserve">, per valid PRACH occasion start from preamble index </w:t>
            </w:r>
            <w:r>
              <w:rPr>
                <w:rFonts w:ascii="Times New Roman" w:hAnsi="Times New Roman" w:eastAsia="宋体"/>
                <w:position w:val="-8"/>
                <w:sz w:val="20"/>
                <w:szCs w:val="20"/>
                <w:lang w:eastAsia="en-US" w:bidi="ar"/>
              </w:rPr>
              <w:drawing>
                <wp:inline distT="0" distB="0" distL="114300" distR="114300">
                  <wp:extent cx="1057275" cy="182880"/>
                  <wp:effectExtent l="0" t="0" r="6350" b="6985"/>
                  <wp:docPr id="3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5"/>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1057275" cy="182880"/>
                          </a:xfrm>
                          <a:prstGeom prst="rect">
                            <a:avLst/>
                          </a:prstGeom>
                          <a:noFill/>
                          <a:ln>
                            <a:noFill/>
                          </a:ln>
                        </pic:spPr>
                      </pic:pic>
                    </a:graphicData>
                  </a:graphic>
                </wp:inline>
              </w:drawing>
            </w:r>
            <w:r>
              <w:rPr>
                <w:rFonts w:ascii="Times New Roman" w:hAnsi="Times New Roman" w:eastAsia="宋体"/>
                <w:sz w:val="20"/>
                <w:szCs w:val="20"/>
                <w:lang w:bidi="ar"/>
              </w:rPr>
              <w:t xml:space="preserve">, where </w:t>
            </w:r>
            <w:r>
              <w:rPr>
                <w:rFonts w:ascii="Times New Roman" w:hAnsi="Times New Roman" w:eastAsia="宋体"/>
                <w:position w:val="-8"/>
                <w:sz w:val="20"/>
                <w:szCs w:val="20"/>
                <w:lang w:eastAsia="en-US" w:bidi="ar"/>
              </w:rPr>
              <w:drawing>
                <wp:inline distT="0" distB="0" distL="114300" distR="114300">
                  <wp:extent cx="501015" cy="182880"/>
                  <wp:effectExtent l="0" t="0" r="6985" b="6985"/>
                  <wp:docPr id="3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501015" cy="182880"/>
                          </a:xfrm>
                          <a:prstGeom prst="rect">
                            <a:avLst/>
                          </a:prstGeom>
                          <a:noFill/>
                          <a:ln>
                            <a:noFill/>
                          </a:ln>
                        </pic:spPr>
                      </pic:pic>
                    </a:graphicData>
                  </a:graphic>
                </wp:inline>
              </w:drawing>
            </w:r>
            <w:r>
              <w:rPr>
                <w:rFonts w:ascii="Times New Roman" w:hAnsi="Times New Roman" w:eastAsia="宋体"/>
                <w:sz w:val="20"/>
                <w:szCs w:val="20"/>
                <w:lang w:bidi="ar"/>
              </w:rPr>
              <w:t xml:space="preserve"> is provided by </w:t>
            </w:r>
            <w:r>
              <w:rPr>
                <w:rFonts w:ascii="Times New Roman" w:hAnsi="Times New Roman" w:eastAsia="宋体"/>
                <w:i/>
                <w:sz w:val="20"/>
                <w:szCs w:val="20"/>
                <w:lang w:bidi="ar"/>
              </w:rPr>
              <w:t>totalNumberOfRA-Preambles</w:t>
            </w:r>
            <w:r>
              <w:rPr>
                <w:rFonts w:ascii="Times New Roman" w:hAnsi="Times New Roman" w:eastAsia="宋体"/>
                <w:sz w:val="20"/>
                <w:szCs w:val="20"/>
                <w:lang w:bidi="ar"/>
              </w:rPr>
              <w:t xml:space="preserve"> for Type-1 random access procedure.</w:t>
            </w:r>
          </w:p>
          <w:p>
            <w:pPr>
              <w:spacing w:after="180" w:line="240" w:lineRule="exact"/>
              <w:rPr>
                <w:rFonts w:ascii="Times New Roman" w:hAnsi="Times New Roman" w:eastAsia="宋体"/>
                <w:sz w:val="20"/>
                <w:szCs w:val="20"/>
                <w:lang w:bidi="ar"/>
              </w:rPr>
            </w:pPr>
            <w:r>
              <w:rPr>
                <w:rFonts w:ascii="Times New Roman" w:hAnsi="Times New Roman" w:eastAsia="宋体"/>
                <w:color w:val="000000"/>
                <w:sz w:val="20"/>
                <w:szCs w:val="20"/>
                <w:lang w:bidi="ar"/>
              </w:rPr>
              <w:t xml:space="preserve">For link recovery, a UE is provided </w:t>
            </w:r>
            <w:r>
              <w:rPr>
                <w:rFonts w:ascii="Times New Roman" w:hAnsi="Times New Roman" w:eastAsia="宋体"/>
                <w:position w:val="-6"/>
                <w:sz w:val="20"/>
                <w:szCs w:val="20"/>
                <w:lang w:eastAsia="en-US" w:bidi="ar"/>
              </w:rPr>
              <w:drawing>
                <wp:inline distT="0" distB="0" distL="114300" distR="114300">
                  <wp:extent cx="95250" cy="151130"/>
                  <wp:effectExtent l="0" t="0" r="0" b="6350"/>
                  <wp:docPr id="2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7"/>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SS/PBCH block </w:t>
            </w:r>
            <w:r>
              <w:rPr>
                <w:rFonts w:ascii="Times New Roman" w:hAnsi="Times New Roman" w:eastAsia="宋体"/>
                <w:sz w:val="20"/>
                <w:szCs w:val="20"/>
                <w:lang w:bidi="ar"/>
              </w:rPr>
              <w:t xml:space="preserve">indexes </w:t>
            </w:r>
            <w:r>
              <w:rPr>
                <w:rFonts w:ascii="Times New Roman" w:hAnsi="Times New Roman" w:eastAsia="宋体"/>
                <w:color w:val="000000"/>
                <w:sz w:val="20"/>
                <w:szCs w:val="20"/>
                <w:lang w:bidi="ar"/>
              </w:rPr>
              <w:t xml:space="preserve">associated with one PRACH occasion by </w:t>
            </w:r>
            <w:r>
              <w:rPr>
                <w:rFonts w:ascii="Times New Roman" w:hAnsi="Times New Roman" w:eastAsia="宋体"/>
                <w:i/>
                <w:iCs/>
                <w:color w:val="000000"/>
                <w:sz w:val="20"/>
                <w:szCs w:val="20"/>
                <w:lang w:bidi="ar"/>
              </w:rPr>
              <w:t>ssb-perRACH-Occasion</w:t>
            </w:r>
            <w:r>
              <w:rPr>
                <w:rFonts w:ascii="Times New Roman" w:hAnsi="Times New Roman" w:eastAsia="宋体"/>
                <w:color w:val="000000"/>
                <w:sz w:val="20"/>
                <w:szCs w:val="20"/>
                <w:lang w:bidi="ar"/>
              </w:rPr>
              <w:t xml:space="preserve"> in </w:t>
            </w:r>
            <w:r>
              <w:rPr>
                <w:rFonts w:ascii="Times New Roman" w:hAnsi="Times New Roman" w:eastAsia="宋体"/>
                <w:i/>
                <w:iCs/>
                <w:color w:val="000000"/>
                <w:sz w:val="20"/>
                <w:szCs w:val="20"/>
                <w:lang w:bidi="ar"/>
              </w:rPr>
              <w:t>BeamFailureRecoveryConfig</w:t>
            </w:r>
            <w:r>
              <w:rPr>
                <w:rFonts w:ascii="Times New Roman" w:hAnsi="Times New Roman" w:eastAsia="宋体"/>
                <w:color w:val="000000"/>
                <w:sz w:val="20"/>
                <w:szCs w:val="20"/>
                <w:lang w:bidi="ar"/>
              </w:rPr>
              <w:t xml:space="preserve">. </w:t>
            </w:r>
            <w:r>
              <w:rPr>
                <w:rFonts w:ascii="Times New Roman" w:hAnsi="Times New Roman" w:eastAsia="宋体"/>
                <w:sz w:val="20"/>
                <w:szCs w:val="20"/>
                <w:lang w:bidi="ar"/>
              </w:rPr>
              <w:t xml:space="preserve">For a dedicated RACH configuration provided by </w:t>
            </w:r>
            <w:r>
              <w:rPr>
                <w:rFonts w:ascii="Times New Roman" w:hAnsi="Times New Roman" w:eastAsia="宋体"/>
                <w:i/>
                <w:sz w:val="20"/>
                <w:szCs w:val="20"/>
                <w:lang w:bidi="ar"/>
              </w:rPr>
              <w:t>RACH-ConfigDedicated</w:t>
            </w:r>
            <w:r>
              <w:rPr>
                <w:rFonts w:ascii="Times New Roman" w:hAnsi="Times New Roman" w:eastAsia="宋体"/>
                <w:sz w:val="20"/>
                <w:szCs w:val="20"/>
                <w:lang w:bidi="ar"/>
              </w:rPr>
              <w:t xml:space="preserve">, if </w:t>
            </w:r>
            <w:r>
              <w:rPr>
                <w:rFonts w:ascii="Times New Roman" w:hAnsi="Times New Roman" w:eastAsia="宋体"/>
                <w:i/>
                <w:sz w:val="20"/>
                <w:szCs w:val="20"/>
                <w:lang w:bidi="ar"/>
              </w:rPr>
              <w:t>cfra</w:t>
            </w:r>
            <w:r>
              <w:rPr>
                <w:rFonts w:ascii="Times New Roman" w:hAnsi="Times New Roman" w:eastAsia="宋体"/>
                <w:sz w:val="20"/>
                <w:szCs w:val="20"/>
                <w:lang w:bidi="ar"/>
              </w:rPr>
              <w:t xml:space="preserve"> is provided, </w:t>
            </w:r>
            <w:r>
              <w:rPr>
                <w:rFonts w:ascii="Times New Roman" w:hAnsi="Times New Roman" w:eastAsia="宋体"/>
                <w:color w:val="000000"/>
                <w:sz w:val="20"/>
                <w:szCs w:val="20"/>
                <w:lang w:bidi="ar"/>
              </w:rPr>
              <w:t xml:space="preserve">a UE is provided </w:t>
            </w:r>
            <w:r>
              <w:rPr>
                <w:rFonts w:ascii="Times New Roman" w:hAnsi="Times New Roman" w:eastAsia="宋体"/>
                <w:position w:val="-6"/>
                <w:sz w:val="20"/>
                <w:szCs w:val="20"/>
                <w:lang w:eastAsia="en-US" w:bidi="ar"/>
              </w:rPr>
              <w:drawing>
                <wp:inline distT="0" distB="0" distL="114300" distR="114300">
                  <wp:extent cx="95250" cy="151130"/>
                  <wp:effectExtent l="0" t="0" r="0" b="6350"/>
                  <wp:docPr id="3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SS/PBCH block </w:t>
            </w:r>
            <w:r>
              <w:rPr>
                <w:rFonts w:ascii="Times New Roman" w:hAnsi="Times New Roman" w:eastAsia="宋体"/>
                <w:sz w:val="20"/>
                <w:szCs w:val="20"/>
                <w:lang w:bidi="ar"/>
              </w:rPr>
              <w:t xml:space="preserve">indexes </w:t>
            </w:r>
            <w:r>
              <w:rPr>
                <w:rFonts w:ascii="Times New Roman" w:hAnsi="Times New Roman" w:eastAsia="宋体"/>
                <w:color w:val="000000"/>
                <w:sz w:val="20"/>
                <w:szCs w:val="20"/>
                <w:lang w:bidi="ar"/>
              </w:rPr>
              <w:t xml:space="preserve">associated with one PRACH occasion by </w:t>
            </w:r>
            <w:r>
              <w:rPr>
                <w:rFonts w:ascii="Times New Roman" w:hAnsi="Times New Roman" w:eastAsia="宋体"/>
                <w:i/>
                <w:iCs/>
                <w:color w:val="000000"/>
                <w:sz w:val="20"/>
                <w:szCs w:val="20"/>
                <w:lang w:bidi="ar"/>
              </w:rPr>
              <w:t>ssb-perRACH-Occasion</w:t>
            </w:r>
            <w:r>
              <w:rPr>
                <w:rFonts w:ascii="Times New Roman" w:hAnsi="Times New Roman" w:eastAsia="宋体"/>
                <w:color w:val="000000"/>
                <w:sz w:val="20"/>
                <w:szCs w:val="20"/>
                <w:lang w:bidi="ar"/>
              </w:rPr>
              <w:t xml:space="preserve"> in </w:t>
            </w:r>
            <w:r>
              <w:rPr>
                <w:rFonts w:ascii="Times New Roman" w:hAnsi="Times New Roman" w:eastAsia="宋体"/>
                <w:i/>
                <w:iCs/>
                <w:color w:val="000000"/>
                <w:sz w:val="20"/>
                <w:szCs w:val="20"/>
                <w:lang w:bidi="ar"/>
              </w:rPr>
              <w:t>occasions</w:t>
            </w:r>
            <w:r>
              <w:rPr>
                <w:rFonts w:ascii="Times New Roman" w:hAnsi="Times New Roman" w:eastAsia="宋体"/>
                <w:color w:val="000000"/>
                <w:sz w:val="20"/>
                <w:szCs w:val="20"/>
                <w:lang w:bidi="ar"/>
              </w:rPr>
              <w:t xml:space="preserve">. </w:t>
            </w:r>
            <w:r>
              <w:rPr>
                <w:rFonts w:ascii="Times New Roman" w:hAnsi="Times New Roman" w:eastAsia="宋体"/>
                <w:sz w:val="20"/>
                <w:szCs w:val="20"/>
                <w:lang w:bidi="ar"/>
              </w:rPr>
              <w:t xml:space="preserve">For the PRACH transmission on a candidate cell [38.213, clause 21], </w:t>
            </w:r>
            <w:r>
              <w:rPr>
                <w:rFonts w:ascii="Times New Roman" w:hAnsi="Times New Roman" w:eastAsia="宋体"/>
                <w:color w:val="000000"/>
                <w:sz w:val="20"/>
                <w:szCs w:val="20"/>
                <w:lang w:bidi="ar"/>
              </w:rPr>
              <w:t xml:space="preserve">a UE is provided </w:t>
            </w:r>
            <w:r>
              <w:rPr>
                <w:rFonts w:ascii="Times New Roman" w:hAnsi="Times New Roman" w:eastAsia="宋体"/>
                <w:position w:val="-6"/>
                <w:sz w:val="20"/>
                <w:szCs w:val="20"/>
                <w:lang w:eastAsia="en-US" w:bidi="ar"/>
              </w:rPr>
              <w:drawing>
                <wp:inline distT="0" distB="0" distL="114300" distR="114300">
                  <wp:extent cx="95250" cy="151130"/>
                  <wp:effectExtent l="0" t="0" r="0" b="6350"/>
                  <wp:docPr id="2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9"/>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SS/PBCH block </w:t>
            </w:r>
            <w:r>
              <w:rPr>
                <w:rFonts w:ascii="Times New Roman" w:hAnsi="Times New Roman" w:eastAsia="宋体"/>
                <w:sz w:val="20"/>
                <w:szCs w:val="20"/>
                <w:lang w:bidi="ar"/>
              </w:rPr>
              <w:t xml:space="preserve">indexes </w:t>
            </w:r>
            <w:r>
              <w:rPr>
                <w:rFonts w:ascii="Times New Roman" w:hAnsi="Times New Roman" w:eastAsia="宋体"/>
                <w:color w:val="000000"/>
                <w:sz w:val="20"/>
                <w:szCs w:val="20"/>
                <w:lang w:bidi="ar"/>
              </w:rPr>
              <w:t xml:space="preserve">associated with one PRACH occasion by </w:t>
            </w:r>
            <w:r>
              <w:rPr>
                <w:rFonts w:ascii="Times New Roman" w:hAnsi="Times New Roman" w:eastAsia="宋体"/>
                <w:i/>
                <w:iCs/>
                <w:color w:val="000000"/>
                <w:sz w:val="20"/>
                <w:szCs w:val="20"/>
                <w:lang w:bidi="ar"/>
              </w:rPr>
              <w:t>ssb-PerRACH-Occasion-r18</w:t>
            </w:r>
            <w:r>
              <w:rPr>
                <w:rFonts w:ascii="Times New Roman" w:hAnsi="Times New Roman" w:eastAsia="宋体"/>
                <w:color w:val="000000"/>
                <w:sz w:val="20"/>
                <w:szCs w:val="20"/>
                <w:lang w:bidi="ar"/>
              </w:rPr>
              <w:t xml:space="preserve"> in </w:t>
            </w:r>
            <w:r>
              <w:rPr>
                <w:rFonts w:ascii="Times New Roman" w:hAnsi="Times New Roman" w:eastAsia="宋体"/>
                <w:i/>
                <w:iCs/>
                <w:sz w:val="20"/>
                <w:szCs w:val="20"/>
                <w:lang w:bidi="ar"/>
              </w:rPr>
              <w:t>EarlyUL-SyncConfig</w:t>
            </w:r>
            <w:r>
              <w:rPr>
                <w:rFonts w:ascii="Times New Roman" w:hAnsi="Times New Roman" w:eastAsia="宋体"/>
                <w:color w:val="000000"/>
                <w:sz w:val="20"/>
                <w:szCs w:val="20"/>
                <w:lang w:bidi="ar"/>
              </w:rPr>
              <w:t xml:space="preserv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3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0"/>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color w:val="000000"/>
                <w:sz w:val="20"/>
                <w:szCs w:val="20"/>
                <w:lang w:bidi="ar"/>
              </w:rPr>
              <w:t>, one SS/PBCH block</w:t>
            </w:r>
            <w:r>
              <w:rPr>
                <w:rFonts w:ascii="Times New Roman" w:hAnsi="Times New Roman" w:eastAsia="宋体"/>
                <w:sz w:val="20"/>
                <w:szCs w:val="20"/>
                <w:lang w:bidi="ar"/>
              </w:rPr>
              <w:t xml:space="preserve"> index</w:t>
            </w:r>
            <w:r>
              <w:rPr>
                <w:rFonts w:ascii="Times New Roman" w:hAnsi="Times New Roman" w:eastAsia="宋体"/>
                <w:color w:val="000000"/>
                <w:sz w:val="20"/>
                <w:szCs w:val="20"/>
                <w:lang w:bidi="ar"/>
              </w:rPr>
              <w:t xml:space="preserve"> is mapped to </w:t>
            </w:r>
            <w:r>
              <w:rPr>
                <w:rFonts w:ascii="Times New Roman" w:hAnsi="Times New Roman" w:eastAsia="宋体"/>
                <w:position w:val="-6"/>
                <w:sz w:val="20"/>
                <w:szCs w:val="20"/>
                <w:lang w:eastAsia="en-US" w:bidi="ar"/>
              </w:rPr>
              <w:drawing>
                <wp:inline distT="0" distB="0" distL="114300" distR="114300">
                  <wp:extent cx="238760" cy="151130"/>
                  <wp:effectExtent l="0" t="0" r="15240" b="6350"/>
                  <wp:docPr id="3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3876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consecutive valid PRACH</w:t>
            </w:r>
            <w:r>
              <w:rPr>
                <w:rFonts w:ascii="Times New Roman" w:hAnsi="Times New Roman" w:eastAsia="宋体"/>
                <w:sz w:val="20"/>
                <w:szCs w:val="20"/>
                <w:lang w:bidi="ar"/>
              </w:rPr>
              <w:t xml:space="preserve"> occasions.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2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all consecutive </w:t>
            </w:r>
            <w:r>
              <w:rPr>
                <w:rFonts w:ascii="Times New Roman" w:hAnsi="Times New Roman" w:eastAsia="宋体"/>
                <w:position w:val="-6"/>
                <w:sz w:val="20"/>
                <w:szCs w:val="20"/>
                <w:lang w:eastAsia="en-US" w:bidi="ar"/>
              </w:rPr>
              <w:drawing>
                <wp:inline distT="0" distB="0" distL="114300" distR="114300">
                  <wp:extent cx="95250" cy="151130"/>
                  <wp:effectExtent l="0" t="0" r="0" b="6350"/>
                  <wp:docPr id="2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SS/PBCH block indexes are associated with one PRACH occasion. </w:t>
            </w:r>
          </w:p>
          <w:p>
            <w:pPr>
              <w:spacing w:after="180" w:line="240" w:lineRule="exact"/>
              <w:rPr>
                <w:rFonts w:ascii="Times New Roman" w:hAnsi="Times New Roman" w:eastAsia="宋体"/>
                <w:color w:val="FF0000"/>
                <w:sz w:val="20"/>
                <w:szCs w:val="20"/>
                <w:lang w:bidi="ar"/>
              </w:rPr>
            </w:pPr>
            <w:r>
              <w:rPr>
                <w:rFonts w:hint="eastAsia" w:ascii="Times New Roman" w:hAnsi="Times New Roman" w:eastAsia="宋体"/>
                <w:color w:val="FF0000"/>
                <w:sz w:val="20"/>
                <w:szCs w:val="20"/>
                <w:lang w:bidi="ar"/>
              </w:rPr>
              <w:t>F</w:t>
            </w:r>
            <w:r>
              <w:rPr>
                <w:rFonts w:ascii="Times New Roman" w:hAnsi="Times New Roman" w:eastAsia="Malgun Gothic"/>
                <w:color w:val="FF0000"/>
                <w:sz w:val="20"/>
                <w:szCs w:val="20"/>
                <w:lang w:eastAsia="ko" w:bidi="ar"/>
              </w:rPr>
              <w:t>or candidate cell</w:t>
            </w:r>
            <w:r>
              <w:rPr>
                <w:rFonts w:hint="eastAsia" w:ascii="Times New Roman" w:hAnsi="Times New Roman" w:eastAsia="宋体"/>
                <w:color w:val="FF0000"/>
                <w:sz w:val="20"/>
                <w:szCs w:val="20"/>
                <w:lang w:bidi="ar"/>
              </w:rPr>
              <w:t>s</w:t>
            </w:r>
            <w:r>
              <w:rPr>
                <w:rFonts w:ascii="Times New Roman" w:hAnsi="Times New Roman" w:eastAsia="Malgun Gothic"/>
                <w:color w:val="FF0000"/>
                <w:sz w:val="20"/>
                <w:szCs w:val="20"/>
                <w:lang w:eastAsia="ko" w:bidi="ar"/>
              </w:rPr>
              <w:t xml:space="preserve"> configured by LTM-Config,</w:t>
            </w:r>
            <w:r>
              <w:rPr>
                <w:rFonts w:hint="eastAsia" w:ascii="Times New Roman" w:hAnsi="Times New Roman" w:eastAsia="宋体"/>
                <w:color w:val="FF0000"/>
                <w:sz w:val="20"/>
                <w:szCs w:val="20"/>
                <w:lang w:bidi="ar"/>
              </w:rPr>
              <w:t xml:space="preserve"> UE is expected to transmit PRACH if overlapping between SSB and PRACH transmission associated with different cells happen</w:t>
            </w:r>
            <w:r>
              <w:rPr>
                <w:rFonts w:hint="eastAsia" w:ascii="Times New Roman" w:hAnsi="Times New Roman" w:eastAsia="宋体"/>
                <w:color w:val="FF0000"/>
                <w:sz w:val="20"/>
                <w:szCs w:val="20"/>
                <w:lang w:val="en-US" w:eastAsia="zh-CN" w:bidi="ar"/>
              </w:rPr>
              <w:t>s</w:t>
            </w:r>
            <w:r>
              <w:rPr>
                <w:rFonts w:hint="eastAsia" w:ascii="Times New Roman" w:hAnsi="Times New Roman" w:eastAsia="宋体"/>
                <w:color w:val="FF0000"/>
                <w:sz w:val="20"/>
                <w:szCs w:val="20"/>
                <w:lang w:bidi="ar"/>
              </w:rPr>
              <w:t xml:space="preserve"> outside a measurement gap.  </w:t>
            </w:r>
          </w:p>
          <w:p>
            <w:pPr>
              <w:spacing w:after="180" w:line="240" w:lineRule="exact"/>
              <w:rPr>
                <w:sz w:val="20"/>
                <w:szCs w:val="20"/>
              </w:rPr>
            </w:pPr>
            <w:r>
              <w:rPr>
                <w:rFonts w:ascii="Times New Roman" w:hAnsi="Times New Roman" w:eastAsia="宋体"/>
                <w:sz w:val="20"/>
                <w:szCs w:val="20"/>
                <w:lang w:bidi="ar"/>
              </w:rPr>
              <w:t xml:space="preserve">SS/PBCH block indexes provided by </w:t>
            </w:r>
            <w:r>
              <w:rPr>
                <w:rFonts w:ascii="Times New Roman" w:hAnsi="Times New Roman" w:eastAsia="宋体"/>
                <w:i/>
                <w:sz w:val="20"/>
                <w:szCs w:val="20"/>
                <w:lang w:bidi="ar"/>
              </w:rPr>
              <w:t>ssb-PositionsInBurst</w:t>
            </w:r>
            <w:r>
              <w:rPr>
                <w:rFonts w:ascii="Times New Roman" w:hAnsi="Times New Roman" w:eastAsia="宋体"/>
                <w:sz w:val="20"/>
                <w:szCs w:val="20"/>
                <w:lang w:bidi="ar"/>
              </w:rPr>
              <w:t xml:space="preserve"> in </w:t>
            </w:r>
            <w:r>
              <w:rPr>
                <w:rFonts w:ascii="Times New Roman" w:hAnsi="Times New Roman" w:eastAsia="宋体"/>
                <w:i/>
                <w:sz w:val="20"/>
                <w:szCs w:val="20"/>
                <w:lang w:bidi="ar"/>
              </w:rPr>
              <w:t>SIB1</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ServingCellConfigCommon</w:t>
            </w:r>
            <w:r>
              <w:rPr>
                <w:rFonts w:ascii="Times New Roman" w:hAnsi="Times New Roman" w:eastAsia="宋体"/>
                <w:sz w:val="20"/>
                <w:szCs w:val="20"/>
                <w:lang w:bidi="ar"/>
              </w:rPr>
              <w:t xml:space="preserve"> or in </w:t>
            </w:r>
            <w:r>
              <w:rPr>
                <w:rFonts w:ascii="Times New Roman" w:hAnsi="Times New Roman" w:eastAsia="宋体"/>
                <w:i/>
                <w:iCs/>
                <w:sz w:val="20"/>
                <w:szCs w:val="20"/>
                <w:lang w:bidi="ar"/>
              </w:rPr>
              <w:t>SSB-MTC-AdditionalPCI</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LTM-SSB-Config</w:t>
            </w:r>
            <w:r>
              <w:rPr>
                <w:rFonts w:ascii="Times New Roman" w:hAnsi="Times New Roman" w:eastAsia="宋体"/>
                <w:sz w:val="20"/>
                <w:szCs w:val="20"/>
                <w:lang w:bidi="ar"/>
              </w:rPr>
              <w:t xml:space="preserve"> are mapped to valid PRACH occasions in the following order where the parameters are described in [4, TS 38.211].</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First, in increasing order of preamble indexes within a single PRACH occasion</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Second, in increasing order of frequency resource indexes for frequency multiplexed PRACH occasions</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Third, in increasing order of time resource indexes for time multiplexed PRACH occasions within a PRACH slot</w:t>
            </w:r>
          </w:p>
          <w:p>
            <w:pPr>
              <w:spacing w:after="180" w:line="240" w:lineRule="exact"/>
              <w:rPr>
                <w:sz w:val="20"/>
                <w:szCs w:val="20"/>
              </w:rPr>
            </w:pPr>
            <w:r>
              <w:rPr>
                <w:rFonts w:ascii="Times New Roman" w:hAnsi="Times New Roman" w:eastAsia="宋体"/>
                <w:sz w:val="20"/>
                <w:szCs w:val="20"/>
                <w:lang w:eastAsia="en-US" w:bidi="ar"/>
              </w:rPr>
              <w:t>-</w:t>
            </w:r>
            <w:r>
              <w:rPr>
                <w:rFonts w:ascii="Times New Roman" w:hAnsi="Times New Roman" w:eastAsia="宋体"/>
                <w:sz w:val="20"/>
                <w:szCs w:val="20"/>
                <w:lang w:eastAsia="en-US" w:bidi="ar"/>
              </w:rPr>
              <w:tab/>
            </w:r>
            <w:r>
              <w:rPr>
                <w:rFonts w:ascii="Times New Roman" w:hAnsi="Times New Roman" w:eastAsia="宋体"/>
                <w:sz w:val="20"/>
                <w:szCs w:val="20"/>
                <w:lang w:eastAsia="en-US" w:bidi="ar"/>
              </w:rPr>
              <w:t>Fourth, in increasing order of indexes for PRACH slots</w:t>
            </w:r>
          </w:p>
          <w:p>
            <w:pPr>
              <w:snapToGrid w:val="0"/>
              <w:spacing w:before="120" w:after="60" w:line="288" w:lineRule="auto"/>
              <w:jc w:val="both"/>
              <w:rPr>
                <w:rFonts w:ascii="Times New Roman" w:hAnsi="Times New Roman"/>
                <w:sz w:val="20"/>
                <w:szCs w:val="20"/>
              </w:rPr>
            </w:pPr>
          </w:p>
        </w:tc>
      </w:tr>
    </w:tbl>
    <w:p>
      <w:pPr>
        <w:numPr>
          <w:ilvl w:val="255"/>
          <w:numId w:val="0"/>
        </w:numPr>
        <w:snapToGrid w:val="0"/>
        <w:spacing w:before="180" w:beforeLines="50" w:after="60" w:line="280" w:lineRule="exact"/>
        <w:jc w:val="both"/>
        <w:rPr>
          <w:rFonts w:ascii="Times New Roman" w:hAnsi="Times New Roman"/>
          <w:i/>
          <w:sz w:val="20"/>
          <w:szCs w:val="20"/>
        </w:rPr>
      </w:pPr>
      <w:bookmarkStart w:id="23" w:name="OLE_LINK18"/>
      <w:bookmarkStart w:id="24" w:name="OLE_LINK21"/>
      <w:bookmarkStart w:id="25" w:name="OLE_LINK15"/>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RAN1 should capture the following method recommended by RAN4 into Clause 8.1 of TS 38.213-i60 to clarify UE behavior when the collision between a SSB and a valid RACH occasion associated with different cells happen</w:t>
      </w:r>
      <w:r>
        <w:rPr>
          <w:rFonts w:hint="eastAsia" w:ascii="Times New Roman" w:hAnsi="Times New Roman"/>
          <w:i/>
          <w:sz w:val="20"/>
          <w:szCs w:val="20"/>
          <w:lang w:val="en-US" w:eastAsia="zh-CN"/>
        </w:rPr>
        <w:t>s</w:t>
      </w:r>
      <w:r>
        <w:rPr>
          <w:rFonts w:hint="eastAsia" w:ascii="Times New Roman" w:hAnsi="Times New Roman"/>
          <w:i/>
          <w:sz w:val="20"/>
          <w:szCs w:val="20"/>
        </w:rPr>
        <w:t>.</w:t>
      </w:r>
    </w:p>
    <w:p>
      <w:pPr>
        <w:numPr>
          <w:ilvl w:val="0"/>
          <w:numId w:val="8"/>
        </w:numPr>
        <w:snapToGrid w:val="0"/>
        <w:spacing w:after="60" w:line="280" w:lineRule="exact"/>
        <w:jc w:val="both"/>
        <w:rPr>
          <w:rFonts w:ascii="Times New Roman" w:hAnsi="Times New Roman"/>
          <w:i/>
          <w:sz w:val="20"/>
          <w:szCs w:val="20"/>
        </w:rPr>
      </w:pPr>
      <w:r>
        <w:rPr>
          <w:rFonts w:hint="eastAsia" w:ascii="Times New Roman" w:hAnsi="Times New Roman"/>
          <w:i/>
          <w:sz w:val="20"/>
          <w:szCs w:val="20"/>
        </w:rPr>
        <w:t>If the collision is outside MG, RACH shall be prioritized over SSB.</w:t>
      </w:r>
    </w:p>
    <w:p>
      <w:pPr>
        <w:numPr>
          <w:ilvl w:val="0"/>
          <w:numId w:val="8"/>
        </w:numPr>
        <w:snapToGrid w:val="0"/>
        <w:spacing w:after="60" w:line="280" w:lineRule="exact"/>
        <w:jc w:val="both"/>
        <w:rPr>
          <w:rFonts w:ascii="Times New Roman" w:hAnsi="Times New Roman"/>
          <w:i/>
          <w:sz w:val="20"/>
          <w:szCs w:val="20"/>
        </w:rPr>
      </w:pPr>
      <w:r>
        <w:rPr>
          <w:rFonts w:hint="eastAsia" w:ascii="Times New Roman" w:hAnsi="Times New Roman"/>
          <w:i/>
          <w:sz w:val="20"/>
          <w:szCs w:val="20"/>
        </w:rPr>
        <w:t>If collision happens within MG, it is up to UE implementation.</w:t>
      </w:r>
    </w:p>
    <w:p>
      <w:pPr>
        <w:numPr>
          <w:ilvl w:val="0"/>
          <w:numId w:val="8"/>
        </w:numPr>
        <w:snapToGrid w:val="0"/>
        <w:spacing w:after="180" w:line="280" w:lineRule="exact"/>
        <w:jc w:val="both"/>
        <w:rPr>
          <w:rFonts w:ascii="Times New Roman" w:hAnsi="Times New Roman"/>
          <w:i/>
          <w:sz w:val="20"/>
          <w:szCs w:val="20"/>
        </w:rPr>
      </w:pPr>
      <w:r>
        <w:rPr>
          <w:rFonts w:hint="eastAsia" w:ascii="Times New Roman" w:hAnsi="Times New Roman"/>
          <w:i/>
          <w:sz w:val="20"/>
          <w:szCs w:val="20"/>
        </w:rPr>
        <w:t>The corresponding draft CR can</w:t>
      </w:r>
      <w:r>
        <w:rPr>
          <w:rFonts w:ascii="Times New Roman" w:hAnsi="Times New Roman"/>
          <w:i/>
          <w:sz w:val="20"/>
          <w:szCs w:val="20"/>
        </w:rPr>
        <w:t xml:space="preserve"> be</w:t>
      </w:r>
      <w:r>
        <w:rPr>
          <w:rFonts w:hint="eastAsia" w:ascii="Times New Roman" w:hAnsi="Times New Roman"/>
          <w:i/>
          <w:sz w:val="20"/>
          <w:szCs w:val="20"/>
        </w:rPr>
        <w:t xml:space="preserve"> found in Appendix. </w:t>
      </w:r>
    </w:p>
    <w:bookmarkEnd w:id="23"/>
    <w:bookmarkEnd w:id="24"/>
    <w:bookmarkEnd w:id="25"/>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26" w:name="OLE_LINK11"/>
      <w:bookmarkStart w:id="27" w:name="OLE_LINK10"/>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measurement related enhancements for Rel-19 LTM</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p>
      <w:pPr>
        <w:numPr>
          <w:ilvl w:val="255"/>
          <w:numId w:val="0"/>
        </w:numPr>
        <w:snapToGrid w:val="0"/>
        <w:spacing w:before="180" w:beforeLines="50" w:after="60" w:line="280" w:lineRule="exact"/>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RAN1 should capture the following method recommended by RAN4 into Clause 8.1 of TS 38.213-i60 to clarify UE behavior when the collision between a SSB and a valid RO associated with different cells happen</w:t>
      </w:r>
      <w:r>
        <w:rPr>
          <w:rFonts w:ascii="Times New Roman" w:hAnsi="Times New Roman"/>
          <w:i/>
          <w:sz w:val="20"/>
          <w:szCs w:val="20"/>
        </w:rPr>
        <w:t>s</w:t>
      </w:r>
      <w:r>
        <w:rPr>
          <w:rFonts w:hint="eastAsia" w:ascii="Times New Roman" w:hAnsi="Times New Roman"/>
          <w:i/>
          <w:sz w:val="20"/>
          <w:szCs w:val="20"/>
        </w:rPr>
        <w:t>.</w:t>
      </w:r>
    </w:p>
    <w:p>
      <w:pPr>
        <w:numPr>
          <w:ilvl w:val="0"/>
          <w:numId w:val="8"/>
        </w:numPr>
        <w:snapToGrid w:val="0"/>
        <w:spacing w:after="60" w:line="280" w:lineRule="exact"/>
        <w:jc w:val="both"/>
        <w:rPr>
          <w:rFonts w:ascii="Times New Roman" w:hAnsi="Times New Roman"/>
          <w:i/>
          <w:sz w:val="20"/>
          <w:szCs w:val="20"/>
        </w:rPr>
      </w:pPr>
      <w:r>
        <w:rPr>
          <w:rFonts w:hint="eastAsia" w:ascii="Times New Roman" w:hAnsi="Times New Roman"/>
          <w:i/>
          <w:sz w:val="20"/>
          <w:szCs w:val="20"/>
        </w:rPr>
        <w:t>If the collision is outside MG, RACH shall be prioritized over SSB.</w:t>
      </w:r>
    </w:p>
    <w:p>
      <w:pPr>
        <w:numPr>
          <w:ilvl w:val="0"/>
          <w:numId w:val="8"/>
        </w:numPr>
        <w:snapToGrid w:val="0"/>
        <w:spacing w:after="60" w:line="280" w:lineRule="exact"/>
        <w:jc w:val="both"/>
        <w:rPr>
          <w:rFonts w:ascii="Times New Roman" w:hAnsi="Times New Roman"/>
          <w:i/>
          <w:sz w:val="20"/>
          <w:szCs w:val="20"/>
        </w:rPr>
      </w:pPr>
      <w:r>
        <w:rPr>
          <w:rFonts w:hint="eastAsia" w:ascii="Times New Roman" w:hAnsi="Times New Roman"/>
          <w:i/>
          <w:sz w:val="20"/>
          <w:szCs w:val="20"/>
        </w:rPr>
        <w:t>If collision happens within MG, it is up to UE implementation.</w:t>
      </w:r>
    </w:p>
    <w:p>
      <w:pPr>
        <w:numPr>
          <w:ilvl w:val="0"/>
          <w:numId w:val="8"/>
        </w:numPr>
        <w:snapToGrid w:val="0"/>
        <w:spacing w:after="180" w:line="280" w:lineRule="exact"/>
        <w:jc w:val="both"/>
        <w:rPr>
          <w:rFonts w:ascii="Times New Roman" w:hAnsi="Times New Roman"/>
          <w:i/>
          <w:sz w:val="20"/>
          <w:szCs w:val="20"/>
        </w:rPr>
      </w:pPr>
      <w:r>
        <w:rPr>
          <w:rFonts w:hint="eastAsia" w:ascii="Times New Roman" w:hAnsi="Times New Roman"/>
          <w:i/>
          <w:sz w:val="20"/>
          <w:szCs w:val="20"/>
        </w:rPr>
        <w:t xml:space="preserve">The corresponding draft CR can be found in Appendix. </w:t>
      </w:r>
    </w:p>
    <w:bookmarkEnd w:id="26"/>
    <w:bookmarkEnd w:id="27"/>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1"/>
        <w:numPr>
          <w:ilvl w:val="0"/>
          <w:numId w:val="9"/>
        </w:numPr>
        <w:snapToGrid w:val="0"/>
      </w:pPr>
      <w:r>
        <w:rPr>
          <w:rFonts w:hint="eastAsia"/>
          <w:bCs/>
          <w:sz w:val="20"/>
          <w:szCs w:val="20"/>
          <w:lang w:eastAsia="en-US"/>
        </w:rPr>
        <w:t>R1-2501697</w:t>
      </w:r>
      <w:r>
        <w:rPr>
          <w:rFonts w:hint="eastAsia"/>
          <w:bCs/>
          <w:sz w:val="20"/>
          <w:szCs w:val="20"/>
        </w:rPr>
        <w:t xml:space="preserve">(R4-2502618), </w:t>
      </w:r>
      <w:r>
        <w:rPr>
          <w:rFonts w:hint="eastAsia"/>
          <w:bCs/>
          <w:sz w:val="20"/>
          <w:szCs w:val="20"/>
          <w:lang w:eastAsia="en-US"/>
        </w:rPr>
        <w:t>Reply LS to RAN1 on collision between SSB and RA occasion for LTM</w:t>
      </w:r>
      <w:r>
        <w:rPr>
          <w:rFonts w:hint="eastAsia"/>
          <w:bCs/>
          <w:sz w:val="20"/>
          <w:szCs w:val="20"/>
        </w:rPr>
        <w:t>, Google</w:t>
      </w:r>
    </w:p>
    <w:p>
      <w:pPr>
        <w:pStyle w:val="2"/>
        <w:numPr>
          <w:ilvl w:val="0"/>
          <w:numId w:val="0"/>
        </w:numPr>
        <w:spacing w:before="180" w:beforeLines="50" w:after="180" w:afterLines="50"/>
        <w:rPr>
          <w:rFonts w:ascii="Times New Roman" w:hAnsi="Times New Roman"/>
          <w:sz w:val="28"/>
          <w:szCs w:val="28"/>
          <w:lang w:val="en-US"/>
        </w:rPr>
      </w:pPr>
      <w:r>
        <w:rPr>
          <w:rFonts w:hint="eastAsia" w:ascii="Times New Roman" w:hAnsi="Times New Roman"/>
          <w:sz w:val="28"/>
          <w:szCs w:val="28"/>
          <w:lang w:val="en-US"/>
        </w:rPr>
        <w:t>Appendix</w:t>
      </w:r>
    </w:p>
    <w:p>
      <w:pPr>
        <w:pStyle w:val="144"/>
        <w:spacing w:after="0"/>
        <w:rPr>
          <w:sz w:val="8"/>
          <w:szCs w:val="8"/>
        </w:rPr>
      </w:pPr>
    </w:p>
    <w:p>
      <w:pPr>
        <w:rPr>
          <w:rFonts w:ascii="Times New Roman" w:hAnsi="Times New Roman" w:eastAsia="PMingLiU"/>
          <w:sz w:val="20"/>
          <w:szCs w:val="20"/>
          <w:lang w:eastAsia="en-US" w:bidi="ar"/>
        </w:rPr>
        <w:sectPr>
          <w:footerReference r:id="rId5" w:type="default"/>
          <w:footnotePr>
            <w:numRestart w:val="eachSect"/>
          </w:footnotePr>
          <w:type w:val="continuous"/>
          <w:pgSz w:w="11915" w:h="16840"/>
          <w:pgMar w:top="1418" w:right="1135" w:bottom="1135" w:left="1135" w:header="680" w:footer="567" w:gutter="0"/>
          <w:cols w:space="720" w:num="1"/>
          <w:docGrid w:type="lines" w:linePitch="360" w:charSpace="0"/>
        </w:sectPr>
      </w:pPr>
    </w:p>
    <w:tbl>
      <w:tblPr>
        <w:tblStyle w:val="28"/>
        <w:tblW w:w="9641" w:type="dxa"/>
        <w:tblInd w:w="42" w:type="dxa"/>
        <w:tblLayout w:type="fixed"/>
        <w:tblCellMar>
          <w:top w:w="0" w:type="dxa"/>
          <w:left w:w="42" w:type="dxa"/>
          <w:bottom w:w="0" w:type="dxa"/>
          <w:right w:w="42" w:type="dxa"/>
        </w:tblCellMar>
      </w:tblPr>
      <w:tblGrid>
        <w:gridCol w:w="142"/>
        <w:gridCol w:w="1559"/>
        <w:gridCol w:w="142"/>
        <w:gridCol w:w="260"/>
        <w:gridCol w:w="307"/>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3"/>
      </w:tblGrid>
      <w:tr>
        <w:tblPrEx>
          <w:tblCellMar>
            <w:top w:w="0" w:type="dxa"/>
            <w:left w:w="42" w:type="dxa"/>
            <w:bottom w:w="0" w:type="dxa"/>
            <w:right w:w="42" w:type="dxa"/>
          </w:tblCellMar>
        </w:tblPrEx>
        <w:tc>
          <w:tcPr>
            <w:tcW w:w="9641" w:type="dxa"/>
            <w:gridSpan w:val="26"/>
            <w:tcBorders>
              <w:left w:val="single" w:color="auto" w:sz="4" w:space="0"/>
              <w:right w:val="single" w:color="auto" w:sz="4" w:space="0"/>
            </w:tcBorders>
          </w:tcPr>
          <w:p>
            <w:pPr>
              <w:pStyle w:val="144"/>
              <w:spacing w:after="0"/>
              <w:jc w:val="center"/>
            </w:pPr>
            <w:bookmarkStart w:id="28" w:name="_Toc176421741"/>
            <w:r>
              <w:rPr>
                <w:rFonts w:hint="eastAsia"/>
                <w:b/>
                <w:color w:val="FF0000"/>
                <w:sz w:val="32"/>
                <w:lang w:eastAsia="zh-TW"/>
              </w:rPr>
              <w:t>Draft</w:t>
            </w:r>
            <w:r>
              <w:rPr>
                <w:rFonts w:hint="eastAsia"/>
                <w:b/>
                <w:sz w:val="32"/>
                <w:lang w:eastAsia="zh-TW"/>
              </w:rPr>
              <w:t xml:space="preserve"> </w:t>
            </w:r>
            <w:r>
              <w:rPr>
                <w:b/>
                <w:sz w:val="32"/>
              </w:rPr>
              <w:t>CHANGE REQUEST</w:t>
            </w:r>
          </w:p>
        </w:tc>
      </w:tr>
      <w:tr>
        <w:tblPrEx>
          <w:tblCellMar>
            <w:top w:w="0" w:type="dxa"/>
            <w:left w:w="42" w:type="dxa"/>
            <w:bottom w:w="0" w:type="dxa"/>
            <w:right w:w="42" w:type="dxa"/>
          </w:tblCellMar>
        </w:tblPrEx>
        <w:tc>
          <w:tcPr>
            <w:tcW w:w="9641" w:type="dxa"/>
            <w:gridSpan w:val="26"/>
            <w:tcBorders>
              <w:left w:val="single" w:color="auto" w:sz="4" w:space="0"/>
              <w:right w:val="single" w:color="auto" w:sz="4" w:space="0"/>
            </w:tcBorders>
          </w:tcPr>
          <w:p>
            <w:pPr>
              <w:pStyle w:val="14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4"/>
              <w:spacing w:after="0"/>
              <w:jc w:val="right"/>
            </w:pPr>
          </w:p>
        </w:tc>
        <w:tc>
          <w:tcPr>
            <w:tcW w:w="1559" w:type="dxa"/>
            <w:shd w:val="pct30" w:color="FFFF00" w:fill="auto"/>
          </w:tcPr>
          <w:p>
            <w:pPr>
              <w:pStyle w:val="144"/>
              <w:spacing w:after="0"/>
              <w:rPr>
                <w:b/>
                <w:sz w:val="28"/>
              </w:rPr>
            </w:pPr>
            <w:r>
              <w:rPr>
                <w:b/>
                <w:sz w:val="28"/>
              </w:rPr>
              <w:t>38.213</w:t>
            </w:r>
          </w:p>
        </w:tc>
        <w:tc>
          <w:tcPr>
            <w:tcW w:w="709" w:type="dxa"/>
            <w:gridSpan w:val="3"/>
          </w:tcPr>
          <w:p>
            <w:pPr>
              <w:pStyle w:val="144"/>
              <w:spacing w:after="0"/>
              <w:jc w:val="center"/>
            </w:pPr>
            <w:r>
              <w:rPr>
                <w:b/>
                <w:sz w:val="28"/>
              </w:rPr>
              <w:t>CR</w:t>
            </w:r>
          </w:p>
        </w:tc>
        <w:tc>
          <w:tcPr>
            <w:tcW w:w="1276" w:type="dxa"/>
            <w:gridSpan w:val="4"/>
            <w:shd w:val="pct30" w:color="FFFF00" w:fill="auto"/>
          </w:tcPr>
          <w:p>
            <w:pPr>
              <w:pStyle w:val="144"/>
              <w:spacing w:after="0"/>
            </w:pPr>
          </w:p>
        </w:tc>
        <w:tc>
          <w:tcPr>
            <w:tcW w:w="709" w:type="dxa"/>
            <w:gridSpan w:val="3"/>
          </w:tcPr>
          <w:p>
            <w:pPr>
              <w:pStyle w:val="144"/>
              <w:tabs>
                <w:tab w:val="right" w:pos="625"/>
              </w:tabs>
              <w:spacing w:after="0"/>
              <w:jc w:val="center"/>
            </w:pPr>
            <w:r>
              <w:rPr>
                <w:b/>
                <w:bCs/>
                <w:sz w:val="28"/>
              </w:rPr>
              <w:t>rev</w:t>
            </w:r>
          </w:p>
        </w:tc>
        <w:tc>
          <w:tcPr>
            <w:tcW w:w="992" w:type="dxa"/>
            <w:gridSpan w:val="3"/>
            <w:shd w:val="pct30" w:color="FFFF00" w:fill="auto"/>
          </w:tcPr>
          <w:p>
            <w:pPr>
              <w:pStyle w:val="144"/>
              <w:spacing w:after="0"/>
              <w:jc w:val="center"/>
              <w:rPr>
                <w:b/>
              </w:rPr>
            </w:pPr>
          </w:p>
        </w:tc>
        <w:tc>
          <w:tcPr>
            <w:tcW w:w="2410" w:type="dxa"/>
            <w:gridSpan w:val="7"/>
          </w:tcPr>
          <w:p>
            <w:pPr>
              <w:pStyle w:val="144"/>
              <w:tabs>
                <w:tab w:val="right" w:pos="1825"/>
              </w:tabs>
              <w:spacing w:after="0"/>
              <w:jc w:val="center"/>
            </w:pPr>
            <w:r>
              <w:rPr>
                <w:b/>
                <w:sz w:val="28"/>
                <w:szCs w:val="28"/>
              </w:rPr>
              <w:t>Current version:</w:t>
            </w:r>
          </w:p>
        </w:tc>
        <w:tc>
          <w:tcPr>
            <w:tcW w:w="1701" w:type="dxa"/>
            <w:gridSpan w:val="3"/>
            <w:shd w:val="pct30" w:color="FFFF00" w:fill="auto"/>
          </w:tcPr>
          <w:p>
            <w:pPr>
              <w:pStyle w:val="144"/>
              <w:spacing w:after="0"/>
              <w:jc w:val="center"/>
              <w:rPr>
                <w:sz w:val="28"/>
              </w:rPr>
            </w:pPr>
            <w:r>
              <w:rPr>
                <w:b/>
                <w:bCs/>
                <w:sz w:val="28"/>
                <w:szCs w:val="28"/>
              </w:rPr>
              <w:t>18.</w:t>
            </w:r>
            <w:r>
              <w:rPr>
                <w:rFonts w:hint="eastAsia" w:eastAsia="宋体"/>
                <w:b/>
                <w:bCs/>
                <w:sz w:val="28"/>
                <w:szCs w:val="28"/>
              </w:rPr>
              <w:t>6</w:t>
            </w:r>
            <w:r>
              <w:rPr>
                <w:b/>
                <w:bCs/>
                <w:sz w:val="28"/>
                <w:szCs w:val="28"/>
              </w:rPr>
              <w:t>.0</w:t>
            </w:r>
          </w:p>
        </w:tc>
        <w:tc>
          <w:tcPr>
            <w:tcW w:w="143" w:type="dxa"/>
            <w:tcBorders>
              <w:right w:val="single" w:color="auto" w:sz="4" w:space="0"/>
            </w:tcBorders>
          </w:tcPr>
          <w:p>
            <w:pPr>
              <w:pStyle w:val="144"/>
              <w:spacing w:after="0"/>
            </w:pPr>
          </w:p>
        </w:tc>
      </w:tr>
      <w:tr>
        <w:tblPrEx>
          <w:tblCellMar>
            <w:top w:w="0" w:type="dxa"/>
            <w:left w:w="42" w:type="dxa"/>
            <w:bottom w:w="0" w:type="dxa"/>
            <w:right w:w="42" w:type="dxa"/>
          </w:tblCellMar>
        </w:tblPrEx>
        <w:tc>
          <w:tcPr>
            <w:tcW w:w="9641" w:type="dxa"/>
            <w:gridSpan w:val="26"/>
            <w:tcBorders>
              <w:left w:val="single" w:color="auto" w:sz="4" w:space="0"/>
              <w:right w:val="single" w:color="auto" w:sz="4" w:space="0"/>
            </w:tcBorders>
          </w:tcPr>
          <w:p>
            <w:pPr>
              <w:pStyle w:val="144"/>
              <w:spacing w:after="0"/>
            </w:pPr>
          </w:p>
        </w:tc>
      </w:tr>
      <w:tr>
        <w:tblPrEx>
          <w:tblCellMar>
            <w:top w:w="0" w:type="dxa"/>
            <w:left w:w="42" w:type="dxa"/>
            <w:bottom w:w="0" w:type="dxa"/>
            <w:right w:w="42" w:type="dxa"/>
          </w:tblCellMar>
        </w:tblPrEx>
        <w:tc>
          <w:tcPr>
            <w:tcW w:w="9641" w:type="dxa"/>
            <w:gridSpan w:val="26"/>
            <w:tcBorders>
              <w:top w:val="single" w:color="auto" w:sz="4" w:space="0"/>
            </w:tcBorders>
          </w:tcPr>
          <w:p>
            <w:pPr>
              <w:pStyle w:val="1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HELP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26"/>
          </w:tcPr>
          <w:p>
            <w:pPr>
              <w:pStyle w:val="144"/>
              <w:spacing w:after="0"/>
              <w:rPr>
                <w:sz w:val="8"/>
                <w:szCs w:val="8"/>
              </w:rPr>
            </w:pPr>
          </w:p>
        </w:tc>
      </w:tr>
      <w:tr>
        <w:tblPrEx>
          <w:tblCellMar>
            <w:top w:w="0" w:type="dxa"/>
            <w:left w:w="42" w:type="dxa"/>
            <w:bottom w:w="0" w:type="dxa"/>
            <w:right w:w="42" w:type="dxa"/>
          </w:tblCellMar>
        </w:tblPrEx>
        <w:tc>
          <w:tcPr>
            <w:tcW w:w="2835" w:type="dxa"/>
            <w:gridSpan w:val="6"/>
          </w:tcPr>
          <w:p>
            <w:pPr>
              <w:pStyle w:val="144"/>
              <w:tabs>
                <w:tab w:val="right" w:pos="2751"/>
              </w:tabs>
              <w:spacing w:after="0"/>
              <w:rPr>
                <w:b/>
                <w:i/>
              </w:rPr>
            </w:pPr>
            <w:r>
              <w:rPr>
                <w:b/>
                <w:i/>
              </w:rPr>
              <w:t>Proposed change affects:</w:t>
            </w:r>
          </w:p>
        </w:tc>
        <w:tc>
          <w:tcPr>
            <w:tcW w:w="1418" w:type="dxa"/>
            <w:gridSpan w:val="5"/>
          </w:tcPr>
          <w:p>
            <w:pPr>
              <w:pStyle w:val="144"/>
              <w:spacing w:after="0"/>
              <w:jc w:val="right"/>
            </w:pPr>
            <w:r>
              <w:t>UICC apps</w:t>
            </w:r>
          </w:p>
        </w:tc>
        <w:tc>
          <w:tcPr>
            <w:tcW w:w="283" w:type="dxa"/>
            <w:gridSpan w:val="2"/>
            <w:tcBorders>
              <w:top w:val="single" w:color="000000" w:sz="6" w:space="0"/>
              <w:left w:val="single" w:color="000000" w:sz="6" w:space="0"/>
              <w:bottom w:val="single" w:color="000000" w:sz="6" w:space="0"/>
              <w:right w:val="single" w:color="000000" w:sz="6" w:space="0"/>
            </w:tcBorders>
            <w:shd w:val="pct25" w:color="FFFF00" w:fill="auto"/>
          </w:tcPr>
          <w:p>
            <w:pPr>
              <w:pStyle w:val="144"/>
              <w:spacing w:after="0"/>
              <w:jc w:val="center"/>
              <w:rPr>
                <w:b/>
                <w:caps/>
              </w:rPr>
            </w:pPr>
          </w:p>
        </w:tc>
        <w:tc>
          <w:tcPr>
            <w:tcW w:w="709" w:type="dxa"/>
            <w:tcBorders>
              <w:left w:val="single" w:color="auto" w:sz="4" w:space="0"/>
            </w:tcBorders>
          </w:tcPr>
          <w:p>
            <w:pPr>
              <w:pStyle w:val="144"/>
              <w:spacing w:after="0"/>
              <w:jc w:val="right"/>
              <w:rPr>
                <w:u w:val="single"/>
              </w:rPr>
            </w:pPr>
            <w:r>
              <w:t>ME</w:t>
            </w:r>
          </w:p>
        </w:tc>
        <w:tc>
          <w:tcPr>
            <w:tcW w:w="284" w:type="dxa"/>
            <w:gridSpan w:val="2"/>
            <w:tcBorders>
              <w:top w:val="single" w:color="auto" w:sz="6" w:space="0"/>
              <w:left w:val="single" w:color="auto" w:sz="6" w:space="0"/>
              <w:bottom w:val="single" w:color="auto" w:sz="6" w:space="0"/>
              <w:right w:val="single" w:color="auto" w:sz="6" w:space="0"/>
            </w:tcBorders>
            <w:shd w:val="pct25" w:color="FFFF00" w:fill="auto"/>
          </w:tcPr>
          <w:p>
            <w:pPr>
              <w:pStyle w:val="144"/>
              <w:spacing w:after="0"/>
              <w:jc w:val="center"/>
              <w:rPr>
                <w:b/>
                <w:caps/>
              </w:rPr>
            </w:pPr>
            <w:r>
              <w:rPr>
                <w:b/>
                <w:caps/>
              </w:rPr>
              <w:t>x</w:t>
            </w:r>
          </w:p>
        </w:tc>
        <w:tc>
          <w:tcPr>
            <w:tcW w:w="2126" w:type="dxa"/>
            <w:gridSpan w:val="5"/>
          </w:tcPr>
          <w:p>
            <w:pPr>
              <w:pStyle w:val="144"/>
              <w:spacing w:after="0"/>
              <w:jc w:val="right"/>
              <w:rPr>
                <w:u w:val="single"/>
              </w:rPr>
            </w:pPr>
            <w:r>
              <w:t>Radio Access Network</w:t>
            </w:r>
          </w:p>
        </w:tc>
        <w:tc>
          <w:tcPr>
            <w:tcW w:w="283" w:type="dxa"/>
            <w:gridSpan w:val="2"/>
            <w:tcBorders>
              <w:top w:val="single" w:color="auto" w:sz="4" w:space="0"/>
              <w:left w:val="single" w:color="auto" w:sz="4" w:space="0"/>
              <w:bottom w:val="single" w:color="auto" w:sz="4" w:space="0"/>
              <w:right w:val="single" w:color="auto" w:sz="4" w:space="0"/>
            </w:tcBorders>
            <w:shd w:val="pct25" w:color="FFFF00" w:fill="auto"/>
          </w:tcPr>
          <w:p>
            <w:pPr>
              <w:pStyle w:val="144"/>
              <w:spacing w:after="0"/>
              <w:jc w:val="center"/>
              <w:rPr>
                <w:b/>
                <w:caps/>
              </w:rPr>
            </w:pPr>
            <w:r>
              <w:rPr>
                <w:b/>
                <w:caps/>
              </w:rPr>
              <w:t>x</w:t>
            </w:r>
          </w:p>
        </w:tc>
        <w:tc>
          <w:tcPr>
            <w:tcW w:w="1418" w:type="dxa"/>
            <w:tcBorders>
              <w:left w:val="nil"/>
            </w:tcBorders>
          </w:tcPr>
          <w:p>
            <w:pPr>
              <w:pStyle w:val="144"/>
              <w:spacing w:after="0"/>
              <w:jc w:val="right"/>
            </w:pPr>
            <w:r>
              <w:t>Core Network</w:t>
            </w:r>
          </w:p>
        </w:tc>
        <w:tc>
          <w:tcPr>
            <w:tcW w:w="283" w:type="dxa"/>
            <w:gridSpan w:val="2"/>
            <w:tcBorders>
              <w:top w:val="single" w:color="auto" w:sz="6" w:space="0"/>
              <w:left w:val="single" w:color="auto" w:sz="6" w:space="0"/>
              <w:bottom w:val="single" w:color="auto" w:sz="6" w:space="0"/>
              <w:right w:val="single" w:color="auto" w:sz="6" w:space="0"/>
            </w:tcBorders>
            <w:shd w:val="pct25" w:color="FFFF00" w:fill="auto"/>
          </w:tcPr>
          <w:p>
            <w:pPr>
              <w:pStyle w:val="144"/>
              <w:spacing w:after="0"/>
              <w:jc w:val="center"/>
              <w:rPr>
                <w:b/>
                <w:bCs/>
                <w:caps/>
              </w:rPr>
            </w:pPr>
          </w:p>
        </w:tc>
      </w:tr>
      <w:tr>
        <w:tblPrEx>
          <w:tblCellMar>
            <w:top w:w="0" w:type="dxa"/>
            <w:left w:w="42" w:type="dxa"/>
            <w:bottom w:w="0" w:type="dxa"/>
            <w:right w:w="42" w:type="dxa"/>
          </w:tblCellMar>
        </w:tblPrEx>
        <w:tc>
          <w:tcPr>
            <w:tcW w:w="9640" w:type="dxa"/>
            <w:gridSpan w:val="26"/>
          </w:tcPr>
          <w:p>
            <w:pPr>
              <w:pStyle w:val="144"/>
              <w:spacing w:after="0"/>
              <w:rPr>
                <w:sz w:val="8"/>
                <w:szCs w:val="8"/>
              </w:rPr>
            </w:pPr>
          </w:p>
        </w:tc>
      </w:tr>
      <w:tr>
        <w:tblPrEx>
          <w:tblCellMar>
            <w:top w:w="0" w:type="dxa"/>
            <w:left w:w="42" w:type="dxa"/>
            <w:bottom w:w="0" w:type="dxa"/>
            <w:right w:w="42" w:type="dxa"/>
          </w:tblCellMar>
        </w:tblPrEx>
        <w:tc>
          <w:tcPr>
            <w:tcW w:w="1843" w:type="dxa"/>
            <w:gridSpan w:val="3"/>
            <w:tcBorders>
              <w:top w:val="single" w:color="auto" w:sz="4" w:space="0"/>
              <w:left w:val="single" w:color="auto" w:sz="4" w:space="0"/>
            </w:tcBorders>
          </w:tcPr>
          <w:p>
            <w:pPr>
              <w:pStyle w:val="144"/>
              <w:tabs>
                <w:tab w:val="right" w:pos="1759"/>
              </w:tabs>
              <w:spacing w:after="0"/>
              <w:rPr>
                <w:b/>
                <w:i/>
              </w:rPr>
            </w:pPr>
            <w:r>
              <w:rPr>
                <w:b/>
                <w:i/>
              </w:rPr>
              <w:t>Title:</w:t>
            </w:r>
            <w:r>
              <w:rPr>
                <w:b/>
                <w:i/>
              </w:rPr>
              <w:tab/>
            </w:r>
          </w:p>
        </w:tc>
        <w:tc>
          <w:tcPr>
            <w:tcW w:w="7797" w:type="dxa"/>
            <w:gridSpan w:val="23"/>
            <w:tcBorders>
              <w:top w:val="single" w:color="auto" w:sz="4" w:space="0"/>
              <w:right w:val="single" w:color="auto" w:sz="4" w:space="0"/>
            </w:tcBorders>
            <w:shd w:val="pct30" w:color="FFFF00" w:fill="auto"/>
          </w:tcPr>
          <w:p>
            <w:pPr>
              <w:pStyle w:val="144"/>
              <w:spacing w:after="0"/>
              <w:ind w:left="100"/>
            </w:pPr>
            <w:r>
              <w:rPr>
                <w:rFonts w:hint="eastAsia" w:eastAsia="宋体"/>
              </w:rPr>
              <w:t xml:space="preserve">Draft CR on </w:t>
            </w:r>
            <w:r>
              <w:t xml:space="preserve">handling collision of SSB and RA occasion for </w:t>
            </w:r>
            <w:r>
              <w:rPr>
                <w:rFonts w:hint="eastAsia" w:eastAsia="宋体"/>
              </w:rPr>
              <w:t xml:space="preserve">Rel-18 </w:t>
            </w:r>
            <w:r>
              <w:t>LTM</w:t>
            </w:r>
          </w:p>
        </w:tc>
      </w:tr>
      <w:tr>
        <w:tblPrEx>
          <w:tblCellMar>
            <w:top w:w="0" w:type="dxa"/>
            <w:left w:w="42" w:type="dxa"/>
            <w:bottom w:w="0" w:type="dxa"/>
            <w:right w:w="42" w:type="dxa"/>
          </w:tblCellMar>
        </w:tblPrEx>
        <w:tc>
          <w:tcPr>
            <w:tcW w:w="1843" w:type="dxa"/>
            <w:gridSpan w:val="3"/>
            <w:tcBorders>
              <w:left w:val="single" w:color="auto" w:sz="4" w:space="0"/>
            </w:tcBorders>
          </w:tcPr>
          <w:p>
            <w:pPr>
              <w:pStyle w:val="144"/>
              <w:spacing w:after="0" w:line="160" w:lineRule="exact"/>
              <w:rPr>
                <w:b/>
                <w:i/>
                <w:sz w:val="8"/>
                <w:szCs w:val="8"/>
              </w:rPr>
            </w:pPr>
          </w:p>
        </w:tc>
        <w:tc>
          <w:tcPr>
            <w:tcW w:w="7797" w:type="dxa"/>
            <w:gridSpan w:val="23"/>
            <w:tcBorders>
              <w:right w:val="single" w:color="auto" w:sz="4" w:space="0"/>
            </w:tcBorders>
          </w:tcPr>
          <w:p>
            <w:pPr>
              <w:pStyle w:val="144"/>
              <w:spacing w:after="0" w:line="160" w:lineRule="exact"/>
              <w:rPr>
                <w:b/>
                <w:i/>
                <w:sz w:val="8"/>
                <w:szCs w:val="8"/>
              </w:rPr>
            </w:pPr>
          </w:p>
        </w:tc>
      </w:tr>
      <w:tr>
        <w:tblPrEx>
          <w:tblCellMar>
            <w:top w:w="0" w:type="dxa"/>
            <w:left w:w="42" w:type="dxa"/>
            <w:bottom w:w="0" w:type="dxa"/>
            <w:right w:w="42" w:type="dxa"/>
          </w:tblCellMar>
        </w:tblPrEx>
        <w:tc>
          <w:tcPr>
            <w:tcW w:w="1843" w:type="dxa"/>
            <w:gridSpan w:val="3"/>
            <w:tcBorders>
              <w:left w:val="single" w:color="auto" w:sz="4" w:space="0"/>
            </w:tcBorders>
          </w:tcPr>
          <w:p>
            <w:pPr>
              <w:pStyle w:val="144"/>
              <w:tabs>
                <w:tab w:val="right" w:pos="1759"/>
              </w:tabs>
              <w:spacing w:after="0"/>
              <w:rPr>
                <w:b/>
                <w:i/>
              </w:rPr>
            </w:pPr>
            <w:r>
              <w:rPr>
                <w:b/>
                <w:i/>
              </w:rPr>
              <w:t>Source to WG:</w:t>
            </w:r>
          </w:p>
        </w:tc>
        <w:tc>
          <w:tcPr>
            <w:tcW w:w="7797" w:type="dxa"/>
            <w:gridSpan w:val="23"/>
            <w:tcBorders>
              <w:right w:val="single" w:color="auto" w:sz="4" w:space="0"/>
            </w:tcBorders>
            <w:shd w:val="pct30" w:color="FFFF00" w:fill="auto"/>
          </w:tcPr>
          <w:p>
            <w:pPr>
              <w:pStyle w:val="144"/>
              <w:spacing w:after="0"/>
              <w:ind w:left="100"/>
              <w:rPr>
                <w:rFonts w:eastAsia="宋体"/>
              </w:rPr>
            </w:pPr>
            <w:r>
              <w:rPr>
                <w:rFonts w:hint="eastAsia" w:eastAsia="宋体"/>
              </w:rPr>
              <w:t>ZTE Corporation, Sanechips</w:t>
            </w:r>
          </w:p>
        </w:tc>
      </w:tr>
      <w:tr>
        <w:tblPrEx>
          <w:tblCellMar>
            <w:top w:w="0" w:type="dxa"/>
            <w:left w:w="42" w:type="dxa"/>
            <w:bottom w:w="0" w:type="dxa"/>
            <w:right w:w="42" w:type="dxa"/>
          </w:tblCellMar>
        </w:tblPrEx>
        <w:tc>
          <w:tcPr>
            <w:tcW w:w="1843" w:type="dxa"/>
            <w:gridSpan w:val="3"/>
            <w:tcBorders>
              <w:left w:val="single" w:color="auto" w:sz="4" w:space="0"/>
            </w:tcBorders>
          </w:tcPr>
          <w:p>
            <w:pPr>
              <w:pStyle w:val="144"/>
              <w:tabs>
                <w:tab w:val="right" w:pos="1759"/>
              </w:tabs>
              <w:spacing w:after="0"/>
              <w:rPr>
                <w:b/>
                <w:i/>
              </w:rPr>
            </w:pPr>
            <w:r>
              <w:rPr>
                <w:b/>
                <w:i/>
              </w:rPr>
              <w:t>Source to TSG:</w:t>
            </w:r>
          </w:p>
        </w:tc>
        <w:tc>
          <w:tcPr>
            <w:tcW w:w="7797" w:type="dxa"/>
            <w:gridSpan w:val="23"/>
            <w:tcBorders>
              <w:right w:val="single" w:color="auto" w:sz="4" w:space="0"/>
            </w:tcBorders>
            <w:shd w:val="pct30" w:color="FFFF00" w:fill="auto"/>
          </w:tcPr>
          <w:p>
            <w:pPr>
              <w:pStyle w:val="144"/>
              <w:spacing w:after="0"/>
              <w:ind w:left="100"/>
            </w:pPr>
          </w:p>
        </w:tc>
      </w:tr>
      <w:tr>
        <w:tblPrEx>
          <w:tblCellMar>
            <w:top w:w="0" w:type="dxa"/>
            <w:left w:w="42" w:type="dxa"/>
            <w:bottom w:w="0" w:type="dxa"/>
            <w:right w:w="42" w:type="dxa"/>
          </w:tblCellMar>
        </w:tblPrEx>
        <w:tc>
          <w:tcPr>
            <w:tcW w:w="1843" w:type="dxa"/>
            <w:gridSpan w:val="3"/>
            <w:tcBorders>
              <w:left w:val="single" w:color="auto" w:sz="4" w:space="0"/>
            </w:tcBorders>
          </w:tcPr>
          <w:p>
            <w:pPr>
              <w:pStyle w:val="144"/>
              <w:spacing w:after="0" w:line="160" w:lineRule="exact"/>
              <w:rPr>
                <w:b/>
                <w:i/>
                <w:sz w:val="8"/>
                <w:szCs w:val="8"/>
              </w:rPr>
            </w:pPr>
          </w:p>
        </w:tc>
        <w:tc>
          <w:tcPr>
            <w:tcW w:w="7797" w:type="dxa"/>
            <w:gridSpan w:val="23"/>
            <w:tcBorders>
              <w:right w:val="single" w:color="auto" w:sz="4" w:space="0"/>
            </w:tcBorders>
          </w:tcPr>
          <w:p>
            <w:pPr>
              <w:pStyle w:val="144"/>
              <w:spacing w:after="0" w:line="160" w:lineRule="exact"/>
              <w:rPr>
                <w:b/>
                <w:i/>
                <w:sz w:val="8"/>
                <w:szCs w:val="8"/>
              </w:rPr>
            </w:pPr>
          </w:p>
        </w:tc>
      </w:tr>
      <w:tr>
        <w:tblPrEx>
          <w:tblCellMar>
            <w:top w:w="0" w:type="dxa"/>
            <w:left w:w="42" w:type="dxa"/>
            <w:bottom w:w="0" w:type="dxa"/>
            <w:right w:w="42" w:type="dxa"/>
          </w:tblCellMar>
        </w:tblPrEx>
        <w:tc>
          <w:tcPr>
            <w:tcW w:w="1843" w:type="dxa"/>
            <w:gridSpan w:val="3"/>
            <w:tcBorders>
              <w:left w:val="single" w:color="auto" w:sz="4" w:space="0"/>
            </w:tcBorders>
          </w:tcPr>
          <w:p>
            <w:pPr>
              <w:pStyle w:val="144"/>
              <w:tabs>
                <w:tab w:val="right" w:pos="1759"/>
              </w:tabs>
              <w:spacing w:after="0"/>
              <w:rPr>
                <w:b/>
                <w:i/>
              </w:rPr>
            </w:pPr>
            <w:r>
              <w:rPr>
                <w:b/>
                <w:i/>
              </w:rPr>
              <w:t>Work item code:</w:t>
            </w:r>
          </w:p>
        </w:tc>
        <w:tc>
          <w:tcPr>
            <w:tcW w:w="3686" w:type="dxa"/>
            <w:gridSpan w:val="13"/>
            <w:shd w:val="pct30" w:color="FFFF00" w:fill="auto"/>
          </w:tcPr>
          <w:p>
            <w:pPr>
              <w:pStyle w:val="144"/>
              <w:spacing w:after="0"/>
              <w:ind w:left="100"/>
            </w:pPr>
            <w:r>
              <w:t>NR_Mob_enh2-Core</w:t>
            </w:r>
          </w:p>
        </w:tc>
        <w:tc>
          <w:tcPr>
            <w:tcW w:w="567" w:type="dxa"/>
            <w:tcBorders>
              <w:left w:val="nil"/>
            </w:tcBorders>
          </w:tcPr>
          <w:p>
            <w:pPr>
              <w:pStyle w:val="144"/>
              <w:spacing w:after="0"/>
              <w:ind w:right="100"/>
            </w:pPr>
          </w:p>
        </w:tc>
        <w:tc>
          <w:tcPr>
            <w:tcW w:w="1417" w:type="dxa"/>
            <w:gridSpan w:val="3"/>
            <w:tcBorders>
              <w:left w:val="nil"/>
            </w:tcBorders>
          </w:tcPr>
          <w:p>
            <w:pPr>
              <w:pStyle w:val="144"/>
              <w:spacing w:after="0"/>
              <w:jc w:val="right"/>
            </w:pPr>
            <w:r>
              <w:rPr>
                <w:b/>
                <w:i/>
              </w:rPr>
              <w:t>Date:</w:t>
            </w:r>
          </w:p>
        </w:tc>
        <w:tc>
          <w:tcPr>
            <w:tcW w:w="2127" w:type="dxa"/>
            <w:gridSpan w:val="6"/>
            <w:tcBorders>
              <w:right w:val="single" w:color="auto" w:sz="4" w:space="0"/>
            </w:tcBorders>
            <w:shd w:val="pct30" w:color="FFFF00" w:fill="auto"/>
          </w:tcPr>
          <w:p>
            <w:pPr>
              <w:pStyle w:val="144"/>
              <w:spacing w:after="0"/>
              <w:ind w:left="100"/>
              <w:rPr>
                <w:rFonts w:eastAsia="宋体"/>
              </w:rPr>
            </w:pPr>
            <w:r>
              <w:t>202</w:t>
            </w:r>
            <w:r>
              <w:rPr>
                <w:rFonts w:hint="eastAsia" w:eastAsia="宋体"/>
              </w:rPr>
              <w:t>5</w:t>
            </w:r>
            <w:r>
              <w:t>-</w:t>
            </w:r>
            <w:r>
              <w:rPr>
                <w:rFonts w:hint="eastAsia" w:eastAsia="宋体"/>
              </w:rPr>
              <w:t>04</w:t>
            </w:r>
            <w:r>
              <w:t>-</w:t>
            </w:r>
            <w:r>
              <w:rPr>
                <w:rFonts w:hint="eastAsia" w:eastAsia="宋体"/>
              </w:rPr>
              <w:t>07</w:t>
            </w:r>
          </w:p>
        </w:tc>
      </w:tr>
      <w:tr>
        <w:tblPrEx>
          <w:tblCellMar>
            <w:top w:w="0" w:type="dxa"/>
            <w:left w:w="42" w:type="dxa"/>
            <w:bottom w:w="0" w:type="dxa"/>
            <w:right w:w="42" w:type="dxa"/>
          </w:tblCellMar>
        </w:tblPrEx>
        <w:tc>
          <w:tcPr>
            <w:tcW w:w="1843" w:type="dxa"/>
            <w:gridSpan w:val="3"/>
            <w:tcBorders>
              <w:left w:val="single" w:color="auto" w:sz="4" w:space="0"/>
            </w:tcBorders>
          </w:tcPr>
          <w:p>
            <w:pPr>
              <w:pStyle w:val="144"/>
              <w:spacing w:after="0" w:line="160" w:lineRule="exact"/>
              <w:rPr>
                <w:b/>
                <w:i/>
                <w:sz w:val="8"/>
                <w:szCs w:val="8"/>
              </w:rPr>
            </w:pPr>
          </w:p>
        </w:tc>
        <w:tc>
          <w:tcPr>
            <w:tcW w:w="1986" w:type="dxa"/>
            <w:gridSpan w:val="7"/>
          </w:tcPr>
          <w:p>
            <w:pPr>
              <w:pStyle w:val="144"/>
              <w:spacing w:after="0" w:line="160" w:lineRule="exact"/>
              <w:rPr>
                <w:sz w:val="8"/>
                <w:szCs w:val="8"/>
              </w:rPr>
            </w:pPr>
          </w:p>
        </w:tc>
        <w:tc>
          <w:tcPr>
            <w:tcW w:w="2267" w:type="dxa"/>
            <w:gridSpan w:val="7"/>
          </w:tcPr>
          <w:p>
            <w:pPr>
              <w:pStyle w:val="144"/>
              <w:spacing w:after="0" w:line="160" w:lineRule="exact"/>
              <w:rPr>
                <w:sz w:val="8"/>
                <w:szCs w:val="8"/>
              </w:rPr>
            </w:pPr>
          </w:p>
        </w:tc>
        <w:tc>
          <w:tcPr>
            <w:tcW w:w="1417" w:type="dxa"/>
            <w:gridSpan w:val="3"/>
          </w:tcPr>
          <w:p>
            <w:pPr>
              <w:pStyle w:val="144"/>
              <w:spacing w:after="0" w:line="160" w:lineRule="exact"/>
              <w:rPr>
                <w:sz w:val="8"/>
                <w:szCs w:val="8"/>
              </w:rPr>
            </w:pPr>
          </w:p>
        </w:tc>
        <w:tc>
          <w:tcPr>
            <w:tcW w:w="2127" w:type="dxa"/>
            <w:gridSpan w:val="6"/>
            <w:tcBorders>
              <w:right w:val="single" w:color="auto" w:sz="4" w:space="0"/>
            </w:tcBorders>
          </w:tcPr>
          <w:p>
            <w:pPr>
              <w:pStyle w:val="144"/>
              <w:spacing w:after="0" w:line="160" w:lineRule="exact"/>
              <w:rPr>
                <w:sz w:val="8"/>
                <w:szCs w:val="8"/>
              </w:rPr>
            </w:pPr>
          </w:p>
        </w:tc>
      </w:tr>
      <w:tr>
        <w:tblPrEx>
          <w:tblCellMar>
            <w:top w:w="0" w:type="dxa"/>
            <w:left w:w="42" w:type="dxa"/>
            <w:bottom w:w="0" w:type="dxa"/>
            <w:right w:w="42" w:type="dxa"/>
          </w:tblCellMar>
        </w:tblPrEx>
        <w:trPr>
          <w:cantSplit/>
        </w:trPr>
        <w:tc>
          <w:tcPr>
            <w:tcW w:w="1843" w:type="dxa"/>
            <w:gridSpan w:val="3"/>
            <w:tcBorders>
              <w:left w:val="single" w:color="auto" w:sz="4" w:space="0"/>
            </w:tcBorders>
          </w:tcPr>
          <w:p>
            <w:pPr>
              <w:pStyle w:val="144"/>
              <w:tabs>
                <w:tab w:val="right" w:pos="1759"/>
              </w:tabs>
              <w:spacing w:after="0"/>
              <w:rPr>
                <w:b/>
                <w:i/>
              </w:rPr>
            </w:pPr>
            <w:r>
              <w:rPr>
                <w:b/>
                <w:i/>
              </w:rPr>
              <w:t>Category:</w:t>
            </w:r>
          </w:p>
        </w:tc>
        <w:tc>
          <w:tcPr>
            <w:tcW w:w="260" w:type="dxa"/>
            <w:shd w:val="pct30" w:color="FFFF00" w:fill="auto"/>
          </w:tcPr>
          <w:p>
            <w:pPr>
              <w:pStyle w:val="144"/>
              <w:spacing w:after="0"/>
              <w:ind w:left="100" w:right="-609"/>
            </w:pPr>
            <w:r>
              <w:t>F</w:t>
            </w:r>
          </w:p>
        </w:tc>
        <w:tc>
          <w:tcPr>
            <w:tcW w:w="3993" w:type="dxa"/>
            <w:gridSpan w:val="13"/>
            <w:tcBorders>
              <w:left w:val="nil"/>
            </w:tcBorders>
          </w:tcPr>
          <w:p>
            <w:pPr>
              <w:pStyle w:val="144"/>
              <w:spacing w:after="0"/>
            </w:pPr>
          </w:p>
        </w:tc>
        <w:tc>
          <w:tcPr>
            <w:tcW w:w="1417" w:type="dxa"/>
            <w:gridSpan w:val="3"/>
            <w:tcBorders>
              <w:left w:val="nil"/>
            </w:tcBorders>
          </w:tcPr>
          <w:p>
            <w:pPr>
              <w:pStyle w:val="144"/>
              <w:spacing w:after="0"/>
              <w:jc w:val="right"/>
              <w:rPr>
                <w:b/>
                <w:i/>
              </w:rPr>
            </w:pPr>
            <w:r>
              <w:rPr>
                <w:b/>
                <w:i/>
              </w:rPr>
              <w:t>Release:</w:t>
            </w:r>
          </w:p>
        </w:tc>
        <w:tc>
          <w:tcPr>
            <w:tcW w:w="2127" w:type="dxa"/>
            <w:gridSpan w:val="6"/>
            <w:tcBorders>
              <w:right w:val="single" w:color="auto" w:sz="4" w:space="0"/>
            </w:tcBorders>
            <w:shd w:val="pct30" w:color="FFFF00" w:fill="auto"/>
          </w:tcPr>
          <w:p>
            <w:pPr>
              <w:pStyle w:val="144"/>
              <w:spacing w:after="0"/>
              <w:ind w:left="100"/>
            </w:pPr>
            <w:r>
              <w:t>Rel-18</w:t>
            </w:r>
          </w:p>
        </w:tc>
      </w:tr>
      <w:tr>
        <w:tblPrEx>
          <w:tblCellMar>
            <w:top w:w="0" w:type="dxa"/>
            <w:left w:w="42" w:type="dxa"/>
            <w:bottom w:w="0" w:type="dxa"/>
            <w:right w:w="42" w:type="dxa"/>
          </w:tblCellMar>
        </w:tblPrEx>
        <w:tc>
          <w:tcPr>
            <w:tcW w:w="1843" w:type="dxa"/>
            <w:gridSpan w:val="3"/>
            <w:tcBorders>
              <w:left w:val="single" w:color="auto" w:sz="4" w:space="0"/>
              <w:bottom w:val="single" w:color="auto" w:sz="4" w:space="0"/>
            </w:tcBorders>
          </w:tcPr>
          <w:p>
            <w:pPr>
              <w:pStyle w:val="144"/>
              <w:spacing w:after="0"/>
              <w:rPr>
                <w:b/>
                <w:i/>
              </w:rPr>
            </w:pPr>
          </w:p>
        </w:tc>
        <w:tc>
          <w:tcPr>
            <w:tcW w:w="4677" w:type="dxa"/>
            <w:gridSpan w:val="16"/>
            <w:tcBorders>
              <w:bottom w:val="single" w:color="auto" w:sz="4" w:space="0"/>
            </w:tcBorders>
          </w:tcPr>
          <w:p>
            <w:pPr>
              <w:pStyle w:val="1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rFonts w:hint="eastAsia" w:eastAsia="宋体"/>
                <w:i/>
                <w:sz w:val="18"/>
              </w:rPr>
              <w:t xml:space="preserve"> </w:t>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7"/>
            <w:tcBorders>
              <w:bottom w:val="single" w:color="auto" w:sz="4" w:space="0"/>
              <w:right w:val="single" w:color="auto" w:sz="4" w:space="0"/>
            </w:tcBorders>
          </w:tcPr>
          <w:p>
            <w:pPr>
              <w:pStyle w:val="1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gridSpan w:val="3"/>
          </w:tcPr>
          <w:p>
            <w:pPr>
              <w:pStyle w:val="144"/>
              <w:spacing w:after="0" w:line="160" w:lineRule="exact"/>
              <w:rPr>
                <w:b/>
                <w:i/>
                <w:sz w:val="8"/>
                <w:szCs w:val="8"/>
              </w:rPr>
            </w:pPr>
          </w:p>
        </w:tc>
        <w:tc>
          <w:tcPr>
            <w:tcW w:w="7797" w:type="dxa"/>
            <w:gridSpan w:val="23"/>
          </w:tcPr>
          <w:p>
            <w:pPr>
              <w:pStyle w:val="144"/>
              <w:spacing w:after="0" w:line="160" w:lineRule="exact"/>
              <w:rPr>
                <w:b/>
                <w:i/>
                <w:sz w:val="8"/>
                <w:szCs w:val="8"/>
              </w:rPr>
            </w:pPr>
          </w:p>
        </w:tc>
      </w:tr>
      <w:tr>
        <w:tblPrEx>
          <w:tblCellMar>
            <w:top w:w="0" w:type="dxa"/>
            <w:left w:w="42" w:type="dxa"/>
            <w:bottom w:w="0" w:type="dxa"/>
            <w:right w:w="42" w:type="dxa"/>
          </w:tblCellMar>
        </w:tblPrEx>
        <w:trPr>
          <w:trHeight w:val="2099" w:hRule="atLeast"/>
        </w:trPr>
        <w:tc>
          <w:tcPr>
            <w:tcW w:w="2103" w:type="dxa"/>
            <w:gridSpan w:val="4"/>
            <w:tcBorders>
              <w:top w:val="single" w:color="auto" w:sz="4" w:space="0"/>
              <w:left w:val="single" w:color="auto" w:sz="4" w:space="0"/>
            </w:tcBorders>
          </w:tcPr>
          <w:p>
            <w:pPr>
              <w:pStyle w:val="144"/>
              <w:tabs>
                <w:tab w:val="right" w:pos="2184"/>
              </w:tabs>
              <w:spacing w:after="0"/>
              <w:rPr>
                <w:b/>
                <w:i/>
              </w:rPr>
            </w:pPr>
            <w:r>
              <w:rPr>
                <w:b/>
                <w:i/>
              </w:rPr>
              <w:t>Reason for change:</w:t>
            </w:r>
          </w:p>
        </w:tc>
        <w:tc>
          <w:tcPr>
            <w:tcW w:w="7537" w:type="dxa"/>
            <w:gridSpan w:val="22"/>
            <w:tcBorders>
              <w:top w:val="single" w:color="auto" w:sz="4" w:space="0"/>
              <w:right w:val="single" w:color="auto" w:sz="4" w:space="0"/>
            </w:tcBorders>
            <w:shd w:val="pct30" w:color="FFFF00" w:fill="auto"/>
          </w:tcPr>
          <w:p>
            <w:pPr>
              <w:pStyle w:val="144"/>
              <w:spacing w:before="180" w:beforeLines="50" w:after="0" w:line="240" w:lineRule="exact"/>
              <w:ind w:left="102"/>
              <w:rPr>
                <w:rFonts w:ascii="Times New Roman" w:hAnsi="Times New Roman" w:eastAsia="宋体"/>
              </w:rPr>
            </w:pPr>
            <w:r>
              <w:rPr>
                <w:rFonts w:ascii="Times New Roman" w:hAnsi="Times New Roman" w:eastAsia="宋体"/>
              </w:rPr>
              <w:t>In a reply LS (</w:t>
            </w:r>
            <w:r>
              <w:rPr>
                <w:rFonts w:ascii="Times New Roman" w:hAnsi="Times New Roman"/>
                <w:bCs/>
                <w:lang w:eastAsia="en-US"/>
              </w:rPr>
              <w:t>R1-2501697</w:t>
            </w:r>
            <w:r>
              <w:rPr>
                <w:rFonts w:ascii="Times New Roman" w:hAnsi="Times New Roman"/>
                <w:bCs/>
              </w:rPr>
              <w:t>(R4-2502618)</w:t>
            </w:r>
            <w:r>
              <w:rPr>
                <w:rFonts w:ascii="Times New Roman" w:hAnsi="Times New Roman" w:eastAsia="宋体"/>
              </w:rPr>
              <w:t>), RAN4 has agreed the following solution to resolve the issue of collision between a SSB and a valid RACH occasion associated with different cells:</w:t>
            </w:r>
          </w:p>
          <w:p>
            <w:pPr>
              <w:pStyle w:val="132"/>
              <w:widowControl/>
              <w:numPr>
                <w:ilvl w:val="0"/>
                <w:numId w:val="5"/>
              </w:numPr>
              <w:autoSpaceDN w:val="0"/>
              <w:snapToGrid w:val="0"/>
              <w:spacing w:after="120" w:line="240" w:lineRule="exact"/>
              <w:ind w:left="1240"/>
              <w:rPr>
                <w:rFonts w:eastAsia="Yu Mincho"/>
                <w:sz w:val="20"/>
                <w:szCs w:val="20"/>
              </w:rPr>
            </w:pPr>
            <w:r>
              <w:rPr>
                <w:sz w:val="20"/>
                <w:szCs w:val="20"/>
              </w:rPr>
              <w:t>RACH shall be prioritized over SSB, if the collision is outside MG.</w:t>
            </w:r>
          </w:p>
          <w:p>
            <w:pPr>
              <w:pStyle w:val="132"/>
              <w:widowControl/>
              <w:numPr>
                <w:ilvl w:val="0"/>
                <w:numId w:val="5"/>
              </w:numPr>
              <w:autoSpaceDN w:val="0"/>
              <w:snapToGrid w:val="0"/>
              <w:spacing w:after="120" w:line="240" w:lineRule="exact"/>
              <w:ind w:left="1240"/>
              <w:rPr>
                <w:rFonts w:eastAsia="Yu Mincho"/>
                <w:sz w:val="20"/>
                <w:szCs w:val="20"/>
              </w:rPr>
            </w:pPr>
            <w:r>
              <w:rPr>
                <w:rFonts w:eastAsia="Yu Mincho"/>
                <w:sz w:val="20"/>
                <w:szCs w:val="20"/>
              </w:rPr>
              <w:t>If collision happens within MG, it is up to UE implementation, i.e., UE may transmit or drop RACH when the RACH occasion colliding with the MG occasion.</w:t>
            </w:r>
          </w:p>
          <w:p>
            <w:pPr>
              <w:pStyle w:val="144"/>
              <w:spacing w:after="0" w:line="240" w:lineRule="exact"/>
              <w:ind w:left="100"/>
              <w:rPr>
                <w:rFonts w:ascii="Times New Roman" w:hAnsi="Times New Roman" w:eastAsia="宋体"/>
              </w:rPr>
            </w:pPr>
            <w:r>
              <w:rPr>
                <w:rFonts w:hint="eastAsia" w:ascii="Times New Roman" w:hAnsi="Times New Roman" w:eastAsia="宋体"/>
              </w:rPr>
              <w:t>In order to clarify UE behavior when the collision between a SSB and a valid RACH occasion associated with different cells happen</w:t>
            </w:r>
            <w:r>
              <w:rPr>
                <w:rFonts w:hint="eastAsia" w:ascii="Times New Roman" w:hAnsi="Times New Roman" w:eastAsia="宋体"/>
                <w:lang w:val="en-US" w:eastAsia="zh-CN"/>
              </w:rPr>
              <w:t>s</w:t>
            </w:r>
            <w:r>
              <w:rPr>
                <w:rFonts w:hint="eastAsia" w:ascii="Times New Roman" w:hAnsi="Times New Roman" w:eastAsia="宋体"/>
              </w:rPr>
              <w:t>, RAN1 should capture the conclusion provided by RAN4 into Clause 8.1 of TS 38.213-i60.</w:t>
            </w:r>
          </w:p>
          <w:p>
            <w:pPr>
              <w:pStyle w:val="144"/>
              <w:spacing w:after="0"/>
            </w:pPr>
          </w:p>
        </w:tc>
      </w:tr>
      <w:tr>
        <w:tblPrEx>
          <w:tblCellMar>
            <w:top w:w="0" w:type="dxa"/>
            <w:left w:w="42" w:type="dxa"/>
            <w:bottom w:w="0" w:type="dxa"/>
            <w:right w:w="42" w:type="dxa"/>
          </w:tblCellMar>
        </w:tblPrEx>
        <w:trPr>
          <w:trHeight w:val="142" w:hRule="atLeast"/>
        </w:trPr>
        <w:tc>
          <w:tcPr>
            <w:tcW w:w="2103" w:type="dxa"/>
            <w:gridSpan w:val="4"/>
            <w:tcBorders>
              <w:left w:val="single" w:color="auto" w:sz="4" w:space="0"/>
            </w:tcBorders>
          </w:tcPr>
          <w:p>
            <w:pPr>
              <w:pStyle w:val="144"/>
              <w:spacing w:after="0" w:line="160" w:lineRule="exact"/>
              <w:rPr>
                <w:b/>
                <w:i/>
                <w:sz w:val="8"/>
                <w:szCs w:val="8"/>
              </w:rPr>
            </w:pPr>
          </w:p>
        </w:tc>
        <w:tc>
          <w:tcPr>
            <w:tcW w:w="7537" w:type="dxa"/>
            <w:gridSpan w:val="22"/>
            <w:tcBorders>
              <w:right w:val="single" w:color="auto" w:sz="4" w:space="0"/>
            </w:tcBorders>
          </w:tcPr>
          <w:p>
            <w:pPr>
              <w:pStyle w:val="144"/>
              <w:spacing w:after="0" w:line="160" w:lineRule="exact"/>
              <w:rPr>
                <w:b/>
                <w:i/>
                <w:sz w:val="8"/>
                <w:szCs w:val="8"/>
              </w:rPr>
            </w:pP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tabs>
                <w:tab w:val="right" w:pos="2184"/>
              </w:tabs>
              <w:spacing w:after="0"/>
              <w:rPr>
                <w:b/>
                <w:i/>
              </w:rPr>
            </w:pPr>
            <w:r>
              <w:rPr>
                <w:b/>
                <w:i/>
              </w:rPr>
              <w:t>Summary of change:</w:t>
            </w:r>
          </w:p>
        </w:tc>
        <w:tc>
          <w:tcPr>
            <w:tcW w:w="7537" w:type="dxa"/>
            <w:gridSpan w:val="22"/>
            <w:tcBorders>
              <w:right w:val="single" w:color="auto" w:sz="4" w:space="0"/>
            </w:tcBorders>
            <w:shd w:val="pct30" w:color="FFFF00" w:fill="auto"/>
          </w:tcPr>
          <w:p>
            <w:pPr>
              <w:pStyle w:val="144"/>
              <w:spacing w:after="0" w:line="240" w:lineRule="exact"/>
              <w:ind w:left="102"/>
            </w:pPr>
            <w:r>
              <w:rPr>
                <w:rFonts w:hint="eastAsia" w:ascii="Times New Roman" w:hAnsi="Times New Roman" w:eastAsia="宋体"/>
              </w:rPr>
              <w:t xml:space="preserve">Clarify that </w:t>
            </w:r>
            <w:r>
              <w:rPr>
                <w:rFonts w:hint="eastAsia" w:ascii="Times New Roman" w:hAnsi="Times New Roman" w:eastAsia="宋体"/>
                <w:lang w:eastAsia="zh-TW"/>
              </w:rPr>
              <w:t xml:space="preserve">UE </w:t>
            </w:r>
            <w:r>
              <w:rPr>
                <w:rFonts w:hint="eastAsia" w:ascii="Times New Roman" w:hAnsi="Times New Roman" w:eastAsia="宋体"/>
              </w:rPr>
              <w:t xml:space="preserve">will transmit PRACH when </w:t>
            </w:r>
            <w:r>
              <w:rPr>
                <w:rFonts w:hint="eastAsia" w:ascii="Times New Roman" w:hAnsi="Times New Roman" w:eastAsia="宋体"/>
                <w:lang w:eastAsia="zh-TW"/>
              </w:rPr>
              <w:t>PRACH and SSB associated with different cells</w:t>
            </w:r>
            <w:r>
              <w:rPr>
                <w:rFonts w:hint="eastAsia" w:ascii="Times New Roman" w:hAnsi="Times New Roman" w:eastAsia="宋体"/>
              </w:rPr>
              <w:t xml:space="preserve"> are transmitted</w:t>
            </w:r>
            <w:r>
              <w:rPr>
                <w:rFonts w:hint="eastAsia" w:ascii="Times New Roman" w:hAnsi="Times New Roman" w:eastAsia="宋体"/>
                <w:lang w:eastAsia="zh-TW"/>
              </w:rPr>
              <w:t xml:space="preserve"> in </w:t>
            </w:r>
            <w:r>
              <w:rPr>
                <w:rFonts w:hint="eastAsia" w:ascii="Times New Roman" w:hAnsi="Times New Roman" w:eastAsia="宋体"/>
              </w:rPr>
              <w:t xml:space="preserve">a same slot. </w:t>
            </w: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spacing w:after="0" w:line="160" w:lineRule="exact"/>
              <w:rPr>
                <w:b/>
                <w:i/>
                <w:sz w:val="8"/>
                <w:szCs w:val="8"/>
              </w:rPr>
            </w:pPr>
          </w:p>
        </w:tc>
        <w:tc>
          <w:tcPr>
            <w:tcW w:w="7537" w:type="dxa"/>
            <w:gridSpan w:val="22"/>
            <w:tcBorders>
              <w:right w:val="single" w:color="auto" w:sz="4" w:space="0"/>
            </w:tcBorders>
          </w:tcPr>
          <w:p>
            <w:pPr>
              <w:pStyle w:val="144"/>
              <w:spacing w:after="0" w:line="160" w:lineRule="exact"/>
              <w:rPr>
                <w:b/>
                <w:i/>
                <w:sz w:val="8"/>
                <w:szCs w:val="8"/>
              </w:rPr>
            </w:pPr>
          </w:p>
        </w:tc>
      </w:tr>
      <w:tr>
        <w:tblPrEx>
          <w:tblCellMar>
            <w:top w:w="0" w:type="dxa"/>
            <w:left w:w="42" w:type="dxa"/>
            <w:bottom w:w="0" w:type="dxa"/>
            <w:right w:w="42" w:type="dxa"/>
          </w:tblCellMar>
        </w:tblPrEx>
        <w:tc>
          <w:tcPr>
            <w:tcW w:w="2103" w:type="dxa"/>
            <w:gridSpan w:val="4"/>
            <w:tcBorders>
              <w:left w:val="single" w:color="auto" w:sz="4" w:space="0"/>
              <w:bottom w:val="single" w:color="auto" w:sz="4" w:space="0"/>
            </w:tcBorders>
          </w:tcPr>
          <w:p>
            <w:pPr>
              <w:pStyle w:val="144"/>
              <w:tabs>
                <w:tab w:val="right" w:pos="2184"/>
              </w:tabs>
              <w:spacing w:after="0"/>
              <w:rPr>
                <w:b/>
                <w:i/>
              </w:rPr>
            </w:pPr>
            <w:r>
              <w:rPr>
                <w:b/>
                <w:i/>
              </w:rPr>
              <w:t>Consequences if not approved:</w:t>
            </w:r>
          </w:p>
        </w:tc>
        <w:tc>
          <w:tcPr>
            <w:tcW w:w="7537" w:type="dxa"/>
            <w:gridSpan w:val="22"/>
            <w:tcBorders>
              <w:bottom w:val="single" w:color="auto" w:sz="4" w:space="0"/>
              <w:right w:val="single" w:color="auto" w:sz="4" w:space="0"/>
            </w:tcBorders>
            <w:shd w:val="pct30" w:color="FFFF00" w:fill="auto"/>
            <w:vAlign w:val="center"/>
          </w:tcPr>
          <w:p>
            <w:pPr>
              <w:pStyle w:val="144"/>
              <w:tabs>
                <w:tab w:val="left" w:pos="1333"/>
              </w:tabs>
              <w:spacing w:after="0" w:line="240" w:lineRule="exact"/>
              <w:ind w:left="102"/>
            </w:pPr>
            <w:r>
              <w:rPr>
                <w:rFonts w:hint="eastAsia" w:ascii="Times New Roman" w:hAnsi="Times New Roman" w:eastAsia="宋体"/>
              </w:rPr>
              <w:t xml:space="preserve">It is not clear for </w:t>
            </w:r>
            <w:r>
              <w:rPr>
                <w:rFonts w:hint="eastAsia" w:ascii="Times New Roman" w:hAnsi="Times New Roman" w:eastAsia="宋体"/>
                <w:lang w:eastAsia="zh-TW"/>
              </w:rPr>
              <w:t xml:space="preserve">UE </w:t>
            </w:r>
            <w:r>
              <w:rPr>
                <w:rFonts w:hint="eastAsia" w:ascii="Times New Roman" w:hAnsi="Times New Roman" w:eastAsia="宋体"/>
              </w:rPr>
              <w:t xml:space="preserve">behavior when </w:t>
            </w:r>
            <w:r>
              <w:rPr>
                <w:rFonts w:hint="eastAsia" w:ascii="Times New Roman" w:hAnsi="Times New Roman" w:eastAsia="宋体"/>
                <w:lang w:eastAsia="zh-TW"/>
              </w:rPr>
              <w:t>PRACH and SSB associated with different cells</w:t>
            </w:r>
            <w:r>
              <w:rPr>
                <w:rFonts w:hint="eastAsia" w:ascii="Times New Roman" w:hAnsi="Times New Roman" w:eastAsia="宋体"/>
              </w:rPr>
              <w:t xml:space="preserve"> are transmitted</w:t>
            </w:r>
            <w:r>
              <w:rPr>
                <w:rFonts w:hint="eastAsia" w:ascii="Times New Roman" w:hAnsi="Times New Roman" w:eastAsia="宋体"/>
                <w:lang w:eastAsia="zh-TW"/>
              </w:rPr>
              <w:t xml:space="preserve"> in </w:t>
            </w:r>
            <w:r>
              <w:rPr>
                <w:rFonts w:hint="eastAsia" w:ascii="Times New Roman" w:hAnsi="Times New Roman" w:eastAsia="宋体"/>
              </w:rPr>
              <w:t>a same slot.</w:t>
            </w:r>
          </w:p>
        </w:tc>
      </w:tr>
      <w:tr>
        <w:tblPrEx>
          <w:tblCellMar>
            <w:top w:w="0" w:type="dxa"/>
            <w:left w:w="42" w:type="dxa"/>
            <w:bottom w:w="0" w:type="dxa"/>
            <w:right w:w="42" w:type="dxa"/>
          </w:tblCellMar>
        </w:tblPrEx>
        <w:tc>
          <w:tcPr>
            <w:tcW w:w="2103" w:type="dxa"/>
            <w:gridSpan w:val="4"/>
          </w:tcPr>
          <w:p>
            <w:pPr>
              <w:pStyle w:val="144"/>
              <w:spacing w:after="0" w:line="160" w:lineRule="exact"/>
              <w:rPr>
                <w:b/>
                <w:i/>
                <w:sz w:val="8"/>
                <w:szCs w:val="8"/>
              </w:rPr>
            </w:pPr>
          </w:p>
        </w:tc>
        <w:tc>
          <w:tcPr>
            <w:tcW w:w="7537" w:type="dxa"/>
            <w:gridSpan w:val="22"/>
          </w:tcPr>
          <w:p>
            <w:pPr>
              <w:pStyle w:val="144"/>
              <w:spacing w:after="0" w:line="160" w:lineRule="exact"/>
              <w:rPr>
                <w:b/>
                <w:i/>
                <w:sz w:val="8"/>
                <w:szCs w:val="8"/>
              </w:rPr>
            </w:pPr>
          </w:p>
        </w:tc>
      </w:tr>
      <w:tr>
        <w:tblPrEx>
          <w:tblCellMar>
            <w:top w:w="0" w:type="dxa"/>
            <w:left w:w="42" w:type="dxa"/>
            <w:bottom w:w="0" w:type="dxa"/>
            <w:right w:w="42" w:type="dxa"/>
          </w:tblCellMar>
        </w:tblPrEx>
        <w:tc>
          <w:tcPr>
            <w:tcW w:w="2103" w:type="dxa"/>
            <w:gridSpan w:val="4"/>
            <w:tcBorders>
              <w:top w:val="single" w:color="auto" w:sz="4" w:space="0"/>
              <w:left w:val="single" w:color="auto" w:sz="4" w:space="0"/>
            </w:tcBorders>
          </w:tcPr>
          <w:p>
            <w:pPr>
              <w:pStyle w:val="144"/>
              <w:tabs>
                <w:tab w:val="right" w:pos="2184"/>
              </w:tabs>
              <w:spacing w:after="0"/>
              <w:rPr>
                <w:b/>
                <w:i/>
              </w:rPr>
            </w:pPr>
            <w:r>
              <w:rPr>
                <w:b/>
                <w:i/>
              </w:rPr>
              <w:t>Clauses affected:</w:t>
            </w:r>
          </w:p>
        </w:tc>
        <w:tc>
          <w:tcPr>
            <w:tcW w:w="7537" w:type="dxa"/>
            <w:gridSpan w:val="22"/>
            <w:tcBorders>
              <w:top w:val="single" w:color="auto" w:sz="4" w:space="0"/>
              <w:right w:val="single" w:color="auto" w:sz="4" w:space="0"/>
            </w:tcBorders>
            <w:shd w:val="pct30" w:color="FFFF00" w:fill="auto"/>
          </w:tcPr>
          <w:p>
            <w:pPr>
              <w:pStyle w:val="144"/>
              <w:spacing w:after="0"/>
              <w:ind w:left="100"/>
            </w:pPr>
            <w:r>
              <w:t>8.1</w:t>
            </w: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spacing w:after="0" w:line="160" w:lineRule="exact"/>
              <w:rPr>
                <w:b/>
                <w:i/>
                <w:sz w:val="8"/>
                <w:szCs w:val="8"/>
              </w:rPr>
            </w:pPr>
          </w:p>
        </w:tc>
        <w:tc>
          <w:tcPr>
            <w:tcW w:w="7537" w:type="dxa"/>
            <w:gridSpan w:val="22"/>
            <w:tcBorders>
              <w:right w:val="single" w:color="auto" w:sz="4" w:space="0"/>
            </w:tcBorders>
          </w:tcPr>
          <w:p>
            <w:pPr>
              <w:pStyle w:val="144"/>
              <w:spacing w:after="0" w:line="160" w:lineRule="exact"/>
              <w:rPr>
                <w:b/>
                <w:i/>
                <w:sz w:val="8"/>
                <w:szCs w:val="8"/>
              </w:rPr>
            </w:pP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tabs>
                <w:tab w:val="right" w:pos="2184"/>
              </w:tabs>
              <w:spacing w:after="0"/>
              <w:rPr>
                <w:b/>
                <w:i/>
              </w:rPr>
            </w:pPr>
          </w:p>
        </w:tc>
        <w:tc>
          <w:tcPr>
            <w:tcW w:w="875" w:type="dxa"/>
            <w:gridSpan w:val="3"/>
            <w:tcBorders>
              <w:top w:val="single" w:color="auto" w:sz="4" w:space="0"/>
              <w:left w:val="single" w:color="auto" w:sz="4" w:space="0"/>
              <w:bottom w:val="single" w:color="auto" w:sz="4" w:space="0"/>
            </w:tcBorders>
          </w:tcPr>
          <w:p>
            <w:pPr>
              <w:pStyle w:val="1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4"/>
              <w:spacing w:after="0"/>
              <w:jc w:val="center"/>
              <w:rPr>
                <w:b/>
                <w:caps/>
              </w:rPr>
            </w:pPr>
            <w:r>
              <w:rPr>
                <w:b/>
                <w:caps/>
              </w:rPr>
              <w:t>N</w:t>
            </w:r>
          </w:p>
        </w:tc>
        <w:tc>
          <w:tcPr>
            <w:tcW w:w="2977" w:type="dxa"/>
            <w:gridSpan w:val="10"/>
          </w:tcPr>
          <w:p>
            <w:pPr>
              <w:pStyle w:val="144"/>
              <w:tabs>
                <w:tab w:val="right" w:pos="2893"/>
              </w:tabs>
              <w:spacing w:after="0"/>
            </w:pPr>
          </w:p>
        </w:tc>
        <w:tc>
          <w:tcPr>
            <w:tcW w:w="3401" w:type="dxa"/>
            <w:gridSpan w:val="8"/>
            <w:tcBorders>
              <w:right w:val="single" w:color="auto" w:sz="4" w:space="0"/>
            </w:tcBorders>
            <w:shd w:val="clear" w:color="FFFF00" w:fill="auto"/>
          </w:tcPr>
          <w:p>
            <w:pPr>
              <w:pStyle w:val="144"/>
              <w:spacing w:after="0"/>
              <w:ind w:left="99"/>
            </w:pP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tabs>
                <w:tab w:val="right" w:pos="2184"/>
              </w:tabs>
              <w:spacing w:after="0"/>
              <w:rPr>
                <w:b/>
                <w:i/>
              </w:rPr>
            </w:pPr>
            <w:r>
              <w:rPr>
                <w:b/>
                <w:i/>
              </w:rPr>
              <w:t>Other specs</w:t>
            </w:r>
          </w:p>
        </w:tc>
        <w:tc>
          <w:tcPr>
            <w:tcW w:w="875" w:type="dxa"/>
            <w:gridSpan w:val="3"/>
            <w:tcBorders>
              <w:top w:val="single" w:color="auto" w:sz="4" w:space="0"/>
              <w:left w:val="single" w:color="auto" w:sz="4" w:space="0"/>
              <w:bottom w:val="single" w:color="auto" w:sz="4" w:space="0"/>
            </w:tcBorders>
            <w:shd w:val="pct25" w:color="FFFF00" w:fill="auto"/>
          </w:tcPr>
          <w:p>
            <w:pPr>
              <w:pStyle w:val="1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4"/>
              <w:spacing w:after="0"/>
              <w:jc w:val="center"/>
              <w:rPr>
                <w:b/>
                <w:caps/>
              </w:rPr>
            </w:pPr>
            <w:r>
              <w:rPr>
                <w:b/>
                <w:caps/>
              </w:rPr>
              <w:t>X</w:t>
            </w:r>
          </w:p>
        </w:tc>
        <w:tc>
          <w:tcPr>
            <w:tcW w:w="2977" w:type="dxa"/>
            <w:gridSpan w:val="10"/>
          </w:tcPr>
          <w:p>
            <w:pPr>
              <w:pStyle w:val="144"/>
              <w:tabs>
                <w:tab w:val="right" w:pos="2893"/>
              </w:tabs>
              <w:spacing w:after="0"/>
            </w:pPr>
            <w:r>
              <w:t xml:space="preserve"> Other core specifications</w:t>
            </w:r>
            <w:r>
              <w:tab/>
            </w:r>
          </w:p>
        </w:tc>
        <w:tc>
          <w:tcPr>
            <w:tcW w:w="3401" w:type="dxa"/>
            <w:gridSpan w:val="8"/>
            <w:tcBorders>
              <w:right w:val="single" w:color="auto" w:sz="4" w:space="0"/>
            </w:tcBorders>
            <w:shd w:val="pct30" w:color="FFFF00" w:fill="auto"/>
          </w:tcPr>
          <w:p>
            <w:pPr>
              <w:pStyle w:val="144"/>
              <w:spacing w:after="0"/>
              <w:ind w:left="99"/>
            </w:pPr>
            <w:r>
              <w:t xml:space="preserve">TS/TR ... CR ... </w:t>
            </w: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spacing w:after="0"/>
              <w:rPr>
                <w:b/>
                <w:i/>
              </w:rPr>
            </w:pPr>
            <w:r>
              <w:rPr>
                <w:b/>
                <w:i/>
              </w:rPr>
              <w:t>affected:</w:t>
            </w:r>
          </w:p>
        </w:tc>
        <w:tc>
          <w:tcPr>
            <w:tcW w:w="875" w:type="dxa"/>
            <w:gridSpan w:val="3"/>
            <w:tcBorders>
              <w:top w:val="single" w:color="auto" w:sz="4" w:space="0"/>
              <w:left w:val="single" w:color="auto" w:sz="4" w:space="0"/>
              <w:bottom w:val="single" w:color="auto" w:sz="4" w:space="0"/>
            </w:tcBorders>
            <w:shd w:val="pct25" w:color="FFFF00" w:fill="auto"/>
          </w:tcPr>
          <w:p>
            <w:pPr>
              <w:pStyle w:val="1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4"/>
              <w:spacing w:after="0"/>
              <w:jc w:val="center"/>
              <w:rPr>
                <w:b/>
                <w:caps/>
              </w:rPr>
            </w:pPr>
            <w:r>
              <w:rPr>
                <w:b/>
                <w:caps/>
              </w:rPr>
              <w:t>X</w:t>
            </w:r>
          </w:p>
        </w:tc>
        <w:tc>
          <w:tcPr>
            <w:tcW w:w="2977" w:type="dxa"/>
            <w:gridSpan w:val="10"/>
          </w:tcPr>
          <w:p>
            <w:pPr>
              <w:pStyle w:val="144"/>
              <w:spacing w:after="0"/>
            </w:pPr>
            <w:r>
              <w:t xml:space="preserve"> Test specifications</w:t>
            </w:r>
          </w:p>
        </w:tc>
        <w:tc>
          <w:tcPr>
            <w:tcW w:w="3401" w:type="dxa"/>
            <w:gridSpan w:val="8"/>
            <w:tcBorders>
              <w:right w:val="single" w:color="auto" w:sz="4" w:space="0"/>
            </w:tcBorders>
            <w:shd w:val="pct30" w:color="FFFF00" w:fill="auto"/>
          </w:tcPr>
          <w:p>
            <w:pPr>
              <w:pStyle w:val="144"/>
              <w:spacing w:after="0"/>
              <w:ind w:left="99"/>
            </w:pPr>
            <w:r>
              <w:t xml:space="preserve">TS/TR ... CR ... </w:t>
            </w: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spacing w:after="0"/>
              <w:rPr>
                <w:b/>
                <w:i/>
              </w:rPr>
            </w:pPr>
            <w:r>
              <w:rPr>
                <w:b/>
                <w:i/>
              </w:rPr>
              <w:t>(show related CRs)</w:t>
            </w:r>
          </w:p>
        </w:tc>
        <w:tc>
          <w:tcPr>
            <w:tcW w:w="875" w:type="dxa"/>
            <w:gridSpan w:val="3"/>
            <w:tcBorders>
              <w:top w:val="single" w:color="auto" w:sz="4" w:space="0"/>
              <w:left w:val="single" w:color="auto" w:sz="4" w:space="0"/>
              <w:bottom w:val="single" w:color="auto" w:sz="4" w:space="0"/>
            </w:tcBorders>
            <w:shd w:val="pct25" w:color="FFFF00" w:fill="auto"/>
          </w:tcPr>
          <w:p>
            <w:pPr>
              <w:pStyle w:val="1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4"/>
              <w:spacing w:after="0"/>
              <w:jc w:val="center"/>
              <w:rPr>
                <w:b/>
                <w:caps/>
              </w:rPr>
            </w:pPr>
            <w:r>
              <w:rPr>
                <w:b/>
                <w:caps/>
              </w:rPr>
              <w:t>X</w:t>
            </w:r>
          </w:p>
        </w:tc>
        <w:tc>
          <w:tcPr>
            <w:tcW w:w="2977" w:type="dxa"/>
            <w:gridSpan w:val="10"/>
          </w:tcPr>
          <w:p>
            <w:pPr>
              <w:pStyle w:val="144"/>
              <w:spacing w:after="0"/>
            </w:pPr>
            <w:r>
              <w:t xml:space="preserve"> O&amp;M Specifications</w:t>
            </w:r>
          </w:p>
        </w:tc>
        <w:tc>
          <w:tcPr>
            <w:tcW w:w="3401" w:type="dxa"/>
            <w:gridSpan w:val="8"/>
            <w:tcBorders>
              <w:right w:val="single" w:color="auto" w:sz="4" w:space="0"/>
            </w:tcBorders>
            <w:shd w:val="pct30" w:color="FFFF00" w:fill="auto"/>
          </w:tcPr>
          <w:p>
            <w:pPr>
              <w:pStyle w:val="144"/>
              <w:spacing w:after="0"/>
              <w:ind w:left="99"/>
            </w:pPr>
            <w:r>
              <w:t xml:space="preserve">TS/TR ... CR ... </w:t>
            </w:r>
          </w:p>
        </w:tc>
      </w:tr>
      <w:tr>
        <w:tblPrEx>
          <w:tblCellMar>
            <w:top w:w="0" w:type="dxa"/>
            <w:left w:w="42" w:type="dxa"/>
            <w:bottom w:w="0" w:type="dxa"/>
            <w:right w:w="42" w:type="dxa"/>
          </w:tblCellMar>
        </w:tblPrEx>
        <w:tc>
          <w:tcPr>
            <w:tcW w:w="2103" w:type="dxa"/>
            <w:gridSpan w:val="4"/>
            <w:tcBorders>
              <w:left w:val="single" w:color="auto" w:sz="4" w:space="0"/>
            </w:tcBorders>
          </w:tcPr>
          <w:p>
            <w:pPr>
              <w:pStyle w:val="144"/>
              <w:spacing w:after="0" w:line="160" w:lineRule="exact"/>
              <w:rPr>
                <w:b/>
                <w:i/>
                <w:sz w:val="8"/>
                <w:szCs w:val="8"/>
              </w:rPr>
            </w:pPr>
          </w:p>
        </w:tc>
        <w:tc>
          <w:tcPr>
            <w:tcW w:w="7537" w:type="dxa"/>
            <w:gridSpan w:val="22"/>
            <w:tcBorders>
              <w:right w:val="single" w:color="auto" w:sz="4" w:space="0"/>
            </w:tcBorders>
          </w:tcPr>
          <w:p>
            <w:pPr>
              <w:pStyle w:val="144"/>
              <w:spacing w:after="0" w:line="160" w:lineRule="exact"/>
              <w:rPr>
                <w:b/>
                <w:i/>
                <w:sz w:val="8"/>
                <w:szCs w:val="8"/>
              </w:rPr>
            </w:pPr>
          </w:p>
        </w:tc>
      </w:tr>
      <w:tr>
        <w:tblPrEx>
          <w:tblCellMar>
            <w:top w:w="0" w:type="dxa"/>
            <w:left w:w="42" w:type="dxa"/>
            <w:bottom w:w="0" w:type="dxa"/>
            <w:right w:w="42" w:type="dxa"/>
          </w:tblCellMar>
        </w:tblPrEx>
        <w:tc>
          <w:tcPr>
            <w:tcW w:w="2103" w:type="dxa"/>
            <w:gridSpan w:val="4"/>
            <w:tcBorders>
              <w:left w:val="single" w:color="auto" w:sz="4" w:space="0"/>
              <w:bottom w:val="single" w:color="auto" w:sz="4" w:space="0"/>
            </w:tcBorders>
          </w:tcPr>
          <w:p>
            <w:pPr>
              <w:pStyle w:val="144"/>
              <w:tabs>
                <w:tab w:val="right" w:pos="2184"/>
              </w:tabs>
              <w:spacing w:after="0"/>
              <w:rPr>
                <w:b/>
                <w:i/>
              </w:rPr>
            </w:pPr>
            <w:r>
              <w:rPr>
                <w:b/>
                <w:i/>
              </w:rPr>
              <w:t>Other comments:</w:t>
            </w:r>
          </w:p>
        </w:tc>
        <w:tc>
          <w:tcPr>
            <w:tcW w:w="7537" w:type="dxa"/>
            <w:gridSpan w:val="22"/>
            <w:tcBorders>
              <w:bottom w:val="single" w:color="auto" w:sz="4" w:space="0"/>
              <w:right w:val="single" w:color="auto" w:sz="4" w:space="0"/>
            </w:tcBorders>
            <w:shd w:val="pct30" w:color="FFFF00" w:fill="auto"/>
          </w:tcPr>
          <w:p>
            <w:pPr>
              <w:pStyle w:val="144"/>
              <w:spacing w:after="0"/>
              <w:ind w:left="100"/>
            </w:pPr>
          </w:p>
        </w:tc>
      </w:tr>
      <w:tr>
        <w:tblPrEx>
          <w:tblCellMar>
            <w:top w:w="0" w:type="dxa"/>
            <w:left w:w="42" w:type="dxa"/>
            <w:bottom w:w="0" w:type="dxa"/>
            <w:right w:w="42" w:type="dxa"/>
          </w:tblCellMar>
        </w:tblPrEx>
        <w:trPr>
          <w:trHeight w:val="90" w:hRule="atLeast"/>
        </w:trPr>
        <w:tc>
          <w:tcPr>
            <w:tcW w:w="2103" w:type="dxa"/>
            <w:gridSpan w:val="4"/>
            <w:tcBorders>
              <w:top w:val="single" w:color="auto" w:sz="4" w:space="0"/>
              <w:bottom w:val="single" w:color="auto" w:sz="4" w:space="0"/>
            </w:tcBorders>
          </w:tcPr>
          <w:p>
            <w:pPr>
              <w:pStyle w:val="144"/>
              <w:spacing w:after="0" w:line="160" w:lineRule="exact"/>
              <w:rPr>
                <w:b/>
                <w:i/>
                <w:sz w:val="8"/>
                <w:szCs w:val="8"/>
              </w:rPr>
            </w:pPr>
          </w:p>
        </w:tc>
        <w:tc>
          <w:tcPr>
            <w:tcW w:w="7537" w:type="dxa"/>
            <w:gridSpan w:val="22"/>
            <w:tcBorders>
              <w:top w:val="single" w:color="auto" w:sz="4" w:space="0"/>
              <w:bottom w:val="single" w:color="auto" w:sz="4" w:space="0"/>
            </w:tcBorders>
            <w:shd w:val="solid" w:color="FFFFFF" w:themeColor="background1" w:fill="auto"/>
          </w:tcPr>
          <w:p>
            <w:pPr>
              <w:pStyle w:val="144"/>
              <w:spacing w:after="0" w:line="160" w:lineRule="exact"/>
              <w:rPr>
                <w:b/>
                <w:i/>
                <w:sz w:val="8"/>
                <w:szCs w:val="8"/>
              </w:rPr>
            </w:pPr>
          </w:p>
        </w:tc>
      </w:tr>
      <w:tr>
        <w:tblPrEx>
          <w:tblCellMar>
            <w:top w:w="0" w:type="dxa"/>
            <w:left w:w="42" w:type="dxa"/>
            <w:bottom w:w="0" w:type="dxa"/>
            <w:right w:w="42" w:type="dxa"/>
          </w:tblCellMar>
        </w:tblPrEx>
        <w:tc>
          <w:tcPr>
            <w:tcW w:w="2103" w:type="dxa"/>
            <w:gridSpan w:val="4"/>
            <w:tcBorders>
              <w:top w:val="single" w:color="auto" w:sz="4" w:space="0"/>
              <w:left w:val="single" w:color="auto" w:sz="4" w:space="0"/>
              <w:bottom w:val="single" w:color="auto" w:sz="4" w:space="0"/>
            </w:tcBorders>
          </w:tcPr>
          <w:p>
            <w:pPr>
              <w:pStyle w:val="144"/>
              <w:tabs>
                <w:tab w:val="right" w:pos="2184"/>
              </w:tabs>
              <w:spacing w:after="0"/>
              <w:rPr>
                <w:b/>
                <w:i/>
              </w:rPr>
            </w:pPr>
            <w:r>
              <w:rPr>
                <w:b/>
                <w:i/>
              </w:rPr>
              <w:t>This CR's revision history:</w:t>
            </w:r>
          </w:p>
        </w:tc>
        <w:tc>
          <w:tcPr>
            <w:tcW w:w="7537" w:type="dxa"/>
            <w:gridSpan w:val="22"/>
            <w:tcBorders>
              <w:top w:val="single" w:color="auto" w:sz="4" w:space="0"/>
              <w:bottom w:val="single" w:color="auto" w:sz="4" w:space="0"/>
              <w:right w:val="single" w:color="auto" w:sz="4" w:space="0"/>
            </w:tcBorders>
            <w:shd w:val="pct30" w:color="FFFF00" w:fill="auto"/>
          </w:tcPr>
          <w:p>
            <w:pPr>
              <w:pStyle w:val="144"/>
              <w:spacing w:after="0"/>
              <w:ind w:left="100"/>
            </w:pPr>
          </w:p>
        </w:tc>
      </w:tr>
    </w:tbl>
    <w:p>
      <w:r>
        <w:rPr>
          <w:rFonts w:ascii="Arial" w:hAnsi="Arial" w:eastAsia="宋体"/>
          <w:sz w:val="32"/>
          <w:szCs w:val="20"/>
          <w:lang w:eastAsia="en-US" w:bidi="ar"/>
        </w:rPr>
        <w:t>8.1</w:t>
      </w:r>
      <w:r>
        <w:rPr>
          <w:rFonts w:ascii="Arial" w:hAnsi="Arial" w:eastAsia="宋体"/>
          <w:sz w:val="32"/>
          <w:szCs w:val="20"/>
          <w:lang w:eastAsia="en-US" w:bidi="ar"/>
        </w:rPr>
        <w:tab/>
      </w:r>
      <w:r>
        <w:rPr>
          <w:rFonts w:ascii="Arial" w:hAnsi="Arial" w:eastAsia="宋体"/>
          <w:sz w:val="32"/>
          <w:szCs w:val="20"/>
          <w:lang w:eastAsia="en-US" w:bidi="ar"/>
        </w:rPr>
        <w:t>Random access preamble</w:t>
      </w:r>
      <w:bookmarkEnd w:id="28"/>
    </w:p>
    <w:p>
      <w:pPr>
        <w:pStyle w:val="3"/>
        <w:widowControl/>
        <w:numPr>
          <w:ilvl w:val="0"/>
          <w:numId w:val="0"/>
        </w:numPr>
        <w:rPr>
          <w:lang w:val="en-US"/>
        </w:rPr>
      </w:pPr>
      <w:r>
        <w:rPr>
          <w:lang w:val="en-US"/>
        </w:rPr>
        <w:t>8.1</w:t>
      </w:r>
      <w:r>
        <w:rPr>
          <w:lang w:val="en-US"/>
        </w:rPr>
        <w:tab/>
      </w:r>
      <w:r>
        <w:rPr>
          <w:lang w:val="en-US"/>
        </w:rPr>
        <w:t>Random access preamble</w:t>
      </w:r>
    </w:p>
    <w:p>
      <w:pPr>
        <w:spacing w:after="180" w:line="240" w:lineRule="exact"/>
        <w:rPr>
          <w:sz w:val="20"/>
          <w:szCs w:val="20"/>
        </w:rPr>
      </w:pPr>
      <w:r>
        <w:rPr>
          <w:rFonts w:ascii="Times New Roman" w:hAnsi="Times New Roman" w:eastAsia="宋体"/>
          <w:sz w:val="20"/>
          <w:szCs w:val="20"/>
          <w:lang w:bidi="ar"/>
        </w:rPr>
        <w:t xml:space="preserve">Physical random access procedure for a UE is triggered upon request of a PRACH transmission by higher layers or by a PDCCH order or LTM Cell Switch Command MAC CE in clause 6.1.3.75 [11, TS 38.321] for a cell. A configuration by higher layers for a PRACH transmission includes the following: </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A configuration for PRACH transmission on the cell [4, TS 38.211]. </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A preamble index, a preamble SCS, </w:t>
      </w:r>
      <w:r>
        <w:rPr>
          <w:rFonts w:ascii="等线" w:hAnsi="等线" w:eastAsia="等线" w:cs="Times New Roman"/>
          <w:position w:val="-8"/>
          <w:sz w:val="20"/>
          <w:szCs w:val="20"/>
          <w:lang w:bidi="ar"/>
        </w:rPr>
        <w:drawing>
          <wp:inline distT="0" distB="0" distL="114300" distR="114300">
            <wp:extent cx="652145" cy="167005"/>
            <wp:effectExtent l="0" t="0" r="14605" b="6350"/>
            <wp:docPr id="6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652145"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a corresponding RA-RNTI when applicable [11, TS 38.321], and a PRACH resource for the cell. </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A number of </w:t>
      </w:r>
      <w:r>
        <w:rPr>
          <w:rFonts w:hint="eastAsia" w:ascii="等线" w:hAnsi="等线" w:eastAsia="等线" w:cs="Times New Roman"/>
          <w:position w:val="-9"/>
          <w:sz w:val="20"/>
          <w:szCs w:val="20"/>
          <w:lang w:bidi="ar"/>
        </w:rPr>
        <w:drawing>
          <wp:inline distT="0" distB="0" distL="114300" distR="114300">
            <wp:extent cx="731520" cy="191135"/>
            <wp:effectExtent l="0" t="0" r="14605" b="15240"/>
            <wp:docPr id="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731520" cy="19113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preamble repetitions for the PRACH transmission if the UE would transmit the PRACH with repetitions. </w:t>
      </w:r>
    </w:p>
    <w:p>
      <w:pPr>
        <w:spacing w:after="180" w:line="240" w:lineRule="exact"/>
        <w:rPr>
          <w:sz w:val="20"/>
          <w:szCs w:val="20"/>
        </w:rPr>
      </w:pPr>
      <w:r>
        <w:rPr>
          <w:rFonts w:ascii="Times New Roman" w:hAnsi="Times New Roman" w:eastAsia="宋体"/>
          <w:sz w:val="20"/>
          <w:szCs w:val="20"/>
          <w:lang w:bidi="ar"/>
        </w:rPr>
        <w:t xml:space="preserve">A UE transmits a PRACH on a cell using the selected PRACH format with transmission power </w:t>
      </w:r>
      <w:r>
        <w:rPr>
          <w:rFonts w:ascii="Times New Roman" w:hAnsi="Times New Roman" w:eastAsia="宋体"/>
          <w:position w:val="-7"/>
          <w:sz w:val="20"/>
          <w:szCs w:val="20"/>
          <w:lang w:eastAsia="en-US" w:bidi="ar"/>
        </w:rPr>
        <w:drawing>
          <wp:inline distT="0" distB="0" distL="114300" distR="114300">
            <wp:extent cx="739775" cy="167005"/>
            <wp:effectExtent l="0" t="0" r="6350" b="6350"/>
            <wp:docPr id="6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739775" cy="167005"/>
                    </a:xfrm>
                    <a:prstGeom prst="rect">
                      <a:avLst/>
                    </a:prstGeom>
                    <a:noFill/>
                    <a:ln>
                      <a:noFill/>
                    </a:ln>
                  </pic:spPr>
                </pic:pic>
              </a:graphicData>
            </a:graphic>
          </wp:inline>
        </w:drawing>
      </w:r>
      <w:r>
        <w:rPr>
          <w:rFonts w:ascii="Times New Roman" w:hAnsi="Times New Roman" w:eastAsia="宋体"/>
          <w:sz w:val="20"/>
          <w:szCs w:val="20"/>
          <w:lang w:bidi="ar"/>
        </w:rPr>
        <w:t>,</w:t>
      </w:r>
      <w:r>
        <w:rPr>
          <w:rFonts w:ascii="Times New Roman" w:hAnsi="Times New Roman" w:eastAsia="宋体"/>
          <w:sz w:val="20"/>
          <w:szCs w:val="20"/>
          <w:vertAlign w:val="subscript"/>
          <w:lang w:bidi="ar"/>
        </w:rPr>
        <w:t xml:space="preserve"> </w:t>
      </w:r>
      <w:r>
        <w:rPr>
          <w:rFonts w:ascii="Times New Roman" w:hAnsi="Times New Roman" w:eastAsia="宋体"/>
          <w:sz w:val="20"/>
          <w:szCs w:val="20"/>
          <w:lang w:bidi="ar"/>
        </w:rPr>
        <w:t>as described in clause 7.4, on the indicated PRACH resource</w:t>
      </w:r>
      <w:r>
        <w:rPr>
          <w:rFonts w:ascii="Times New Roman" w:hAnsi="Times New Roman" w:eastAsia="宋体"/>
          <w:kern w:val="2"/>
          <w:sz w:val="20"/>
          <w:szCs w:val="20"/>
          <w:lang w:bidi="ar"/>
        </w:rPr>
        <w:t xml:space="preserve"> or on a determined set of </w:t>
      </w:r>
      <w:r>
        <w:rPr>
          <w:rFonts w:ascii="Times New Roman" w:hAnsi="Times New Roman" w:eastAsia="宋体"/>
          <w:position w:val="-9"/>
          <w:sz w:val="20"/>
          <w:szCs w:val="20"/>
          <w:lang w:eastAsia="en-US" w:bidi="ar"/>
        </w:rPr>
        <w:drawing>
          <wp:inline distT="0" distB="0" distL="114300" distR="114300">
            <wp:extent cx="501015" cy="191135"/>
            <wp:effectExtent l="0" t="0" r="6985" b="15240"/>
            <wp:docPr id="6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501015" cy="191135"/>
                    </a:xfrm>
                    <a:prstGeom prst="rect">
                      <a:avLst/>
                    </a:prstGeom>
                    <a:noFill/>
                    <a:ln>
                      <a:noFill/>
                    </a:ln>
                  </pic:spPr>
                </pic:pic>
              </a:graphicData>
            </a:graphic>
          </wp:inline>
        </w:drawing>
      </w:r>
      <w:r>
        <w:rPr>
          <w:rFonts w:ascii="Times New Roman" w:hAnsi="Times New Roman" w:eastAsia="宋体"/>
          <w:sz w:val="20"/>
          <w:szCs w:val="20"/>
          <w:lang w:bidi="ar"/>
        </w:rPr>
        <w:t xml:space="preserve"> resources using a same spatial filter in case of </w:t>
      </w:r>
      <w:r>
        <w:rPr>
          <w:rFonts w:ascii="Times New Roman" w:hAnsi="Times New Roman" w:eastAsia="宋体"/>
          <w:position w:val="-9"/>
          <w:sz w:val="20"/>
          <w:szCs w:val="20"/>
          <w:lang w:eastAsia="en-US" w:bidi="ar"/>
        </w:rPr>
        <w:drawing>
          <wp:inline distT="0" distB="0" distL="114300" distR="114300">
            <wp:extent cx="501015" cy="191135"/>
            <wp:effectExtent l="0" t="0" r="6985" b="1524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501015" cy="191135"/>
                    </a:xfrm>
                    <a:prstGeom prst="rect">
                      <a:avLst/>
                    </a:prstGeom>
                    <a:noFill/>
                    <a:ln>
                      <a:noFill/>
                    </a:ln>
                  </pic:spPr>
                </pic:pic>
              </a:graphicData>
            </a:graphic>
          </wp:inline>
        </w:drawing>
      </w:r>
      <w:r>
        <w:rPr>
          <w:rFonts w:ascii="Times New Roman" w:hAnsi="Times New Roman" w:eastAsia="宋体"/>
          <w:sz w:val="20"/>
          <w:szCs w:val="20"/>
          <w:lang w:bidi="ar"/>
        </w:rPr>
        <w:t xml:space="preserve"> preamble repetitions.</w:t>
      </w:r>
    </w:p>
    <w:p>
      <w:pPr>
        <w:spacing w:after="180" w:line="240" w:lineRule="exact"/>
        <w:rPr>
          <w:sz w:val="20"/>
          <w:szCs w:val="20"/>
        </w:rPr>
      </w:pPr>
      <w:r>
        <w:rPr>
          <w:rFonts w:ascii="Times New Roman" w:hAnsi="Times New Roman" w:eastAsia="宋体"/>
          <w:sz w:val="20"/>
          <w:szCs w:val="20"/>
          <w:lang w:bidi="ar"/>
        </w:rPr>
        <w:t xml:space="preserve">For Type-1 random access procedure,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7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9"/>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and a number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7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0"/>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ssb-perRACH-OccasionAndCB-PreamblesPerSSB</w:t>
      </w:r>
      <w:r>
        <w:rPr>
          <w:rFonts w:ascii="Times New Roman" w:hAnsi="Times New Roman" w:eastAsia="宋体"/>
          <w:sz w:val="20"/>
          <w:szCs w:val="20"/>
          <w:lang w:bidi="ar"/>
        </w:rPr>
        <w:t xml:space="preserve">. </w:t>
      </w:r>
    </w:p>
    <w:p>
      <w:pPr>
        <w:spacing w:after="180" w:line="240" w:lineRule="exact"/>
        <w:rPr>
          <w:sz w:val="20"/>
          <w:szCs w:val="20"/>
        </w:rPr>
      </w:pPr>
      <w:r>
        <w:rPr>
          <w:rFonts w:ascii="Times New Roman" w:hAnsi="Times New Roman" w:eastAsia="宋体"/>
          <w:sz w:val="20"/>
          <w:szCs w:val="20"/>
          <w:lang w:bidi="ar"/>
        </w:rPr>
        <w:t xml:space="preserve">For Type-2 random access procedure with common configuration of PRACH occasions with Type-1 random access procedure,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7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1"/>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by </w:t>
      </w:r>
      <w:r>
        <w:rPr>
          <w:rFonts w:ascii="Times New Roman" w:hAnsi="Times New Roman" w:eastAsia="宋体"/>
          <w:i/>
          <w:sz w:val="20"/>
          <w:szCs w:val="20"/>
          <w:lang w:bidi="ar"/>
        </w:rPr>
        <w:t>ssb-perRACH-OccasionAndCB-PreamblesPerSSB</w:t>
      </w:r>
      <w:r>
        <w:rPr>
          <w:rFonts w:ascii="Times New Roman" w:hAnsi="Times New Roman" w:eastAsia="宋体"/>
          <w:sz w:val="20"/>
          <w:szCs w:val="20"/>
          <w:lang w:bidi="ar"/>
        </w:rPr>
        <w:t xml:space="preserve"> and a number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7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2"/>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msgA-CB-PreamblesPerSSB-PerSharedRO</w:t>
      </w:r>
      <w:r>
        <w:rPr>
          <w:rFonts w:ascii="Times New Roman" w:hAnsi="Times New Roman" w:eastAsia="宋体"/>
          <w:sz w:val="20"/>
          <w:szCs w:val="20"/>
          <w:lang w:bidi="ar"/>
        </w:rPr>
        <w:t xml:space="preserve">. </w:t>
      </w:r>
      <w:r>
        <w:rPr>
          <w:rFonts w:ascii="Times New Roman" w:hAnsi="Times New Roman" w:eastAsia="宋体"/>
          <w:sz w:val="20"/>
          <w:szCs w:val="20"/>
          <w:shd w:val="clear" w:color="auto" w:fill="FFFFFF"/>
          <w:lang w:bidi="ar"/>
        </w:rPr>
        <w:t xml:space="preserve">The PRACH transmission can be on a subset of PRACH occasions associated with a same SS/PBCH block index within an SSB-RO mapping cycle for a UE provided with a PRACH mask index by </w:t>
      </w:r>
      <w:r>
        <w:rPr>
          <w:rFonts w:ascii="Times New Roman" w:hAnsi="Times New Roman" w:eastAsia="宋体"/>
          <w:i/>
          <w:iCs/>
          <w:sz w:val="20"/>
          <w:szCs w:val="20"/>
          <w:shd w:val="clear" w:color="auto" w:fill="FFFFFF"/>
          <w:lang w:bidi="ar"/>
        </w:rPr>
        <w:t>msgA-SSB-SharedRO-MaskIndex</w:t>
      </w:r>
      <w:r>
        <w:rPr>
          <w:rFonts w:ascii="Times New Roman" w:hAnsi="Times New Roman" w:eastAsia="宋体"/>
          <w:sz w:val="20"/>
          <w:szCs w:val="20"/>
          <w:shd w:val="clear" w:color="auto" w:fill="FFFFFF"/>
          <w:lang w:bidi="ar"/>
        </w:rPr>
        <w:t xml:space="preserve"> according to [11, TS 38.321]</w:t>
      </w:r>
      <w:r>
        <w:rPr>
          <w:rFonts w:ascii="Times New Roman" w:hAnsi="Times New Roman" w:eastAsia="宋体"/>
          <w:sz w:val="20"/>
          <w:szCs w:val="20"/>
          <w:lang w:bidi="ar"/>
        </w:rPr>
        <w:t>.</w:t>
      </w:r>
    </w:p>
    <w:p>
      <w:pPr>
        <w:spacing w:after="180" w:line="240" w:lineRule="exact"/>
        <w:rPr>
          <w:sz w:val="20"/>
          <w:szCs w:val="20"/>
        </w:rPr>
      </w:pPr>
      <w:r>
        <w:rPr>
          <w:rFonts w:ascii="Times New Roman" w:hAnsi="Times New Roman" w:eastAsia="宋体"/>
          <w:sz w:val="20"/>
          <w:szCs w:val="20"/>
          <w:lang w:bidi="ar"/>
        </w:rPr>
        <w:t xml:space="preserve">For Type-2 random access procedure with separate configuration of PRACH occasions with Type-1 random access procedure,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7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and a number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7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4"/>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msgA-SSB-PerRACH-OccasionAndCB-PreamblesPerSSB</w:t>
      </w:r>
      <w:r>
        <w:rPr>
          <w:rFonts w:ascii="Times New Roman" w:hAnsi="Times New Roman" w:eastAsia="宋体"/>
          <w:iCs/>
          <w:sz w:val="20"/>
          <w:szCs w:val="20"/>
          <w:lang w:bidi="ar"/>
        </w:rPr>
        <w:t xml:space="preserve"> when provided; otherwise, by </w:t>
      </w:r>
      <w:r>
        <w:rPr>
          <w:rFonts w:ascii="Times New Roman" w:hAnsi="Times New Roman" w:eastAsia="宋体"/>
          <w:i/>
          <w:iCs/>
          <w:sz w:val="20"/>
          <w:szCs w:val="20"/>
          <w:lang w:bidi="ar"/>
        </w:rPr>
        <w:t>ssb-perRACH-OccasionAndCB-PreamblesPerSSB</w:t>
      </w:r>
      <w:r>
        <w:rPr>
          <w:rFonts w:ascii="Times New Roman" w:hAnsi="Times New Roman" w:eastAsia="宋体"/>
          <w:sz w:val="20"/>
          <w:szCs w:val="20"/>
          <w:lang w:bidi="ar"/>
        </w:rPr>
        <w:t>.</w:t>
      </w:r>
    </w:p>
    <w:p>
      <w:pPr>
        <w:spacing w:after="180" w:line="240" w:lineRule="exact"/>
        <w:rPr>
          <w:sz w:val="20"/>
          <w:szCs w:val="20"/>
        </w:rPr>
      </w:pPr>
      <w:r>
        <w:rPr>
          <w:rFonts w:ascii="Times New Roman" w:hAnsi="Times New Roman" w:eastAsia="宋体"/>
          <w:sz w:val="20"/>
          <w:szCs w:val="20"/>
          <w:lang w:bidi="ar"/>
        </w:rPr>
        <w:t xml:space="preserve">For a random access procedure associated with a feature combination indicated by </w:t>
      </w:r>
      <w:r>
        <w:rPr>
          <w:rFonts w:ascii="Times New Roman" w:hAnsi="Times New Roman" w:eastAsia="宋体"/>
          <w:i/>
          <w:sz w:val="20"/>
          <w:szCs w:val="20"/>
          <w:lang w:bidi="ar"/>
        </w:rPr>
        <w:t>FeatureCombinationPreambles</w:t>
      </w:r>
      <w:r>
        <w:rPr>
          <w:rFonts w:ascii="Times New Roman" w:hAnsi="Times New Roman" w:eastAsia="宋体"/>
          <w:sz w:val="20"/>
          <w:szCs w:val="20"/>
          <w:lang w:bidi="ar"/>
        </w:rPr>
        <w:t xml:space="preserve">, a UE is provided a number </w:t>
      </w:r>
      <w:r>
        <w:rPr>
          <w:rFonts w:ascii="Times New Roman" w:hAnsi="Times New Roman" w:eastAsia="宋体"/>
          <w:position w:val="-6"/>
          <w:sz w:val="20"/>
          <w:szCs w:val="20"/>
          <w:lang w:eastAsia="en-US" w:bidi="ar"/>
        </w:rPr>
        <w:drawing>
          <wp:inline distT="0" distB="0" distL="114300" distR="114300">
            <wp:extent cx="95250" cy="151130"/>
            <wp:effectExtent l="0" t="0" r="0" b="6350"/>
            <wp:docPr id="7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of SS/PBCH block indexes associated with one PRACH occasion by </w:t>
      </w:r>
      <w:r>
        <w:rPr>
          <w:rFonts w:ascii="Times New Roman" w:hAnsi="Times New Roman" w:eastAsia="宋体"/>
          <w:i/>
          <w:sz w:val="20"/>
          <w:szCs w:val="20"/>
          <w:lang w:bidi="ar"/>
        </w:rPr>
        <w:t>ssb-perRACH-OccasionAndCB-PreamblesPerSSB</w:t>
      </w:r>
      <w:r>
        <w:rPr>
          <w:rFonts w:ascii="Times New Roman" w:hAnsi="Times New Roman" w:eastAsia="宋体"/>
          <w:sz w:val="20"/>
          <w:szCs w:val="20"/>
          <w:lang w:bidi="ar"/>
        </w:rPr>
        <w:t xml:space="preserve"> or </w:t>
      </w:r>
      <w:r>
        <w:rPr>
          <w:rFonts w:ascii="Times New Roman" w:hAnsi="Times New Roman" w:eastAsia="宋体"/>
          <w:i/>
          <w:sz w:val="20"/>
          <w:szCs w:val="20"/>
          <w:lang w:bidi="ar"/>
        </w:rPr>
        <w:t>msgA-SSB-PerRACH-OccasionAndCB-PreamblesPerSSB</w:t>
      </w:r>
      <w:r>
        <w:rPr>
          <w:rFonts w:ascii="Times New Roman" w:hAnsi="Times New Roman" w:eastAsia="宋体"/>
          <w:iCs/>
          <w:sz w:val="20"/>
          <w:szCs w:val="20"/>
          <w:lang w:bidi="ar"/>
        </w:rPr>
        <w:t xml:space="preserve"> when provided </w:t>
      </w:r>
      <w:r>
        <w:rPr>
          <w:rFonts w:ascii="Times New Roman" w:hAnsi="Times New Roman" w:eastAsia="宋体"/>
          <w:sz w:val="20"/>
          <w:szCs w:val="20"/>
          <w:lang w:bidi="ar"/>
        </w:rPr>
        <w:t xml:space="preserve">and a number </w:t>
      </w:r>
      <w:r>
        <w:rPr>
          <w:rFonts w:ascii="Times New Roman" w:hAnsi="Times New Roman" w:eastAsia="宋体"/>
          <w:position w:val="-6"/>
          <w:sz w:val="20"/>
          <w:szCs w:val="20"/>
          <w:lang w:eastAsia="en-US" w:bidi="ar"/>
        </w:rPr>
        <w:drawing>
          <wp:inline distT="0" distB="0" distL="114300" distR="114300">
            <wp:extent cx="71755" cy="151130"/>
            <wp:effectExtent l="0" t="0" r="7620" b="6350"/>
            <wp:docPr id="7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71755" cy="151130"/>
                    </a:xfrm>
                    <a:prstGeom prst="rect">
                      <a:avLst/>
                    </a:prstGeom>
                    <a:noFill/>
                    <a:ln>
                      <a:noFill/>
                    </a:ln>
                  </pic:spPr>
                </pic:pic>
              </a:graphicData>
            </a:graphic>
          </wp:inline>
        </w:drawing>
      </w:r>
      <w:r>
        <w:rPr>
          <w:rFonts w:ascii="Times New Roman" w:hAnsi="Times New Roman" w:eastAsia="宋体"/>
          <w:sz w:val="20"/>
          <w:szCs w:val="20"/>
          <w:lang w:bidi="ar"/>
        </w:rPr>
        <w:t xml:space="preserve"> of contention based preambles per SS/PBCH block index per valid PRACH occasion by </w:t>
      </w:r>
      <w:r>
        <w:rPr>
          <w:rFonts w:ascii="Times New Roman" w:hAnsi="Times New Roman" w:eastAsia="宋体"/>
          <w:i/>
          <w:sz w:val="20"/>
          <w:szCs w:val="20"/>
          <w:lang w:bidi="ar"/>
        </w:rPr>
        <w:t>startPreambleForThisPartition</w:t>
      </w:r>
      <w:r>
        <w:rPr>
          <w:rFonts w:ascii="Times New Roman" w:hAnsi="Times New Roman" w:eastAsia="宋体"/>
          <w:sz w:val="20"/>
          <w:szCs w:val="20"/>
          <w:lang w:bidi="ar"/>
        </w:rPr>
        <w:t xml:space="preserve"> and </w:t>
      </w:r>
      <w:r>
        <w:rPr>
          <w:rFonts w:ascii="Times New Roman" w:hAnsi="Times New Roman" w:eastAsia="宋体"/>
          <w:i/>
          <w:sz w:val="20"/>
          <w:szCs w:val="20"/>
          <w:lang w:bidi="ar"/>
        </w:rPr>
        <w:t>numberOfPreamblesPerSSB-ForThisPartition</w:t>
      </w:r>
      <w:r>
        <w:rPr>
          <w:rFonts w:ascii="Times New Roman" w:hAnsi="Times New Roman" w:eastAsia="宋体"/>
          <w:sz w:val="20"/>
          <w:szCs w:val="20"/>
          <w:lang w:bidi="ar"/>
        </w:rPr>
        <w:t xml:space="preserve">. </w:t>
      </w:r>
      <w:r>
        <w:rPr>
          <w:rFonts w:ascii="Times New Roman" w:hAnsi="Times New Roman" w:eastAsia="宋体"/>
          <w:sz w:val="20"/>
          <w:szCs w:val="20"/>
          <w:shd w:val="clear" w:color="auto" w:fill="FFFFFF"/>
          <w:lang w:bidi="ar"/>
        </w:rPr>
        <w:t xml:space="preserve">The PRACH transmission can be on a subset of PRACH occasions associated with a same SS/PBCH block index within an SSB-RO mapping cycle for a UE provided with a PRACH mask index by </w:t>
      </w:r>
      <w:r>
        <w:rPr>
          <w:rFonts w:ascii="Times New Roman" w:hAnsi="Times New Roman" w:eastAsia="宋体"/>
          <w:i/>
          <w:sz w:val="20"/>
          <w:szCs w:val="20"/>
          <w:lang w:bidi="ar"/>
        </w:rPr>
        <w:t>ssb-SharedRO-MaskIndex</w:t>
      </w:r>
      <w:r>
        <w:rPr>
          <w:rFonts w:ascii="Times New Roman" w:hAnsi="Times New Roman" w:eastAsia="宋体"/>
          <w:sz w:val="20"/>
          <w:szCs w:val="20"/>
          <w:shd w:val="clear" w:color="auto" w:fill="FFFFFF"/>
          <w:lang w:bidi="ar"/>
        </w:rPr>
        <w:t xml:space="preserve"> according to [11, TS 38.321]</w:t>
      </w:r>
      <w:r>
        <w:rPr>
          <w:rFonts w:ascii="Times New Roman" w:hAnsi="Times New Roman" w:eastAsia="宋体"/>
          <w:sz w:val="20"/>
          <w:szCs w:val="20"/>
          <w:lang w:bidi="ar"/>
        </w:rPr>
        <w:t>.</w:t>
      </w:r>
    </w:p>
    <w:p>
      <w:pPr>
        <w:spacing w:after="180" w:line="240" w:lineRule="exact"/>
        <w:rPr>
          <w:sz w:val="20"/>
          <w:szCs w:val="20"/>
        </w:rPr>
      </w:pPr>
      <w:r>
        <w:rPr>
          <w:rFonts w:ascii="Times New Roman" w:hAnsi="Times New Roman" w:eastAsia="宋体"/>
          <w:sz w:val="20"/>
          <w:szCs w:val="20"/>
          <w:lang w:bidi="ar"/>
        </w:rPr>
        <w:t xml:space="preserve">For Type-1 random access procedure, or for Type-2 random access procedure with separate configuration of PRACH occasions from Type 1 random access procedure,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7"/>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one SS/PBCH block index is mapped to </w:t>
      </w:r>
      <w:r>
        <w:rPr>
          <w:rFonts w:ascii="Times New Roman" w:hAnsi="Times New Roman" w:eastAsia="宋体"/>
          <w:position w:val="-6"/>
          <w:sz w:val="20"/>
          <w:szCs w:val="20"/>
          <w:lang w:eastAsia="en-US" w:bidi="ar"/>
        </w:rPr>
        <w:drawing>
          <wp:inline distT="0" distB="0" distL="114300" distR="114300">
            <wp:extent cx="238760" cy="151130"/>
            <wp:effectExtent l="0" t="0" r="15240" b="6350"/>
            <wp:docPr id="7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8"/>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38760" cy="151130"/>
                    </a:xfrm>
                    <a:prstGeom prst="rect">
                      <a:avLst/>
                    </a:prstGeom>
                    <a:noFill/>
                    <a:ln>
                      <a:noFill/>
                    </a:ln>
                  </pic:spPr>
                </pic:pic>
              </a:graphicData>
            </a:graphic>
          </wp:inline>
        </w:drawing>
      </w:r>
      <w:r>
        <w:rPr>
          <w:rFonts w:ascii="Times New Roman" w:hAnsi="Times New Roman" w:eastAsia="宋体"/>
          <w:sz w:val="20"/>
          <w:szCs w:val="20"/>
          <w:lang w:bidi="ar"/>
        </w:rPr>
        <w:t xml:space="preserve"> consecutive valid PRACH occasions and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8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9"/>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the SS/PBCH block index per valid PRACH occasion start from preamble index 0.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8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8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1"/>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SS/PBCH block index </w:t>
      </w:r>
      <w:r>
        <w:rPr>
          <w:rFonts w:ascii="Times New Roman" w:hAnsi="Times New Roman" w:eastAsia="宋体"/>
          <w:position w:val="-6"/>
          <w:sz w:val="20"/>
          <w:szCs w:val="20"/>
          <w:lang w:eastAsia="en-US" w:bidi="ar"/>
        </w:rPr>
        <w:drawing>
          <wp:inline distT="0" distB="0" distL="114300" distR="114300">
            <wp:extent cx="71755" cy="151130"/>
            <wp:effectExtent l="0" t="0" r="7620" b="4445"/>
            <wp:docPr id="8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22"/>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71755"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795020" cy="151130"/>
            <wp:effectExtent l="0" t="0" r="14605" b="6350"/>
            <wp:docPr id="8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795020" cy="151130"/>
                    </a:xfrm>
                    <a:prstGeom prst="rect">
                      <a:avLst/>
                    </a:prstGeom>
                    <a:noFill/>
                    <a:ln>
                      <a:noFill/>
                    </a:ln>
                  </pic:spPr>
                </pic:pic>
              </a:graphicData>
            </a:graphic>
          </wp:inline>
        </w:drawing>
      </w:r>
      <w:r>
        <w:rPr>
          <w:rFonts w:ascii="Times New Roman" w:hAnsi="Times New Roman" w:eastAsia="宋体"/>
          <w:sz w:val="20"/>
          <w:szCs w:val="20"/>
          <w:lang w:bidi="ar"/>
        </w:rPr>
        <w:t xml:space="preserve">, per valid PRACH occasion start from preamble index </w:t>
      </w:r>
      <w:r>
        <w:rPr>
          <w:rFonts w:ascii="Times New Roman" w:hAnsi="Times New Roman" w:eastAsia="宋体"/>
          <w:position w:val="-8"/>
          <w:sz w:val="20"/>
          <w:szCs w:val="20"/>
          <w:lang w:eastAsia="en-US" w:bidi="ar"/>
        </w:rPr>
        <w:drawing>
          <wp:inline distT="0" distB="0" distL="114300" distR="114300">
            <wp:extent cx="826770" cy="182880"/>
            <wp:effectExtent l="0" t="0" r="14605" b="6985"/>
            <wp:docPr id="8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24"/>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826770" cy="182880"/>
                    </a:xfrm>
                    <a:prstGeom prst="rect">
                      <a:avLst/>
                    </a:prstGeom>
                    <a:noFill/>
                    <a:ln>
                      <a:noFill/>
                    </a:ln>
                  </pic:spPr>
                </pic:pic>
              </a:graphicData>
            </a:graphic>
          </wp:inline>
        </w:drawing>
      </w:r>
      <w:r>
        <w:rPr>
          <w:rFonts w:ascii="Times New Roman" w:hAnsi="Times New Roman" w:eastAsia="宋体"/>
          <w:sz w:val="20"/>
          <w:szCs w:val="20"/>
          <w:lang w:bidi="ar"/>
        </w:rPr>
        <w:t xml:space="preserve"> where </w:t>
      </w:r>
      <w:r>
        <w:rPr>
          <w:rFonts w:ascii="Times New Roman" w:hAnsi="Times New Roman" w:eastAsia="宋体"/>
          <w:position w:val="-8"/>
          <w:sz w:val="20"/>
          <w:szCs w:val="20"/>
          <w:lang w:eastAsia="en-US" w:bidi="ar"/>
        </w:rPr>
        <w:drawing>
          <wp:inline distT="0" distB="0" distL="114300" distR="114300">
            <wp:extent cx="501015" cy="182880"/>
            <wp:effectExtent l="0" t="0" r="6985" b="6985"/>
            <wp:docPr id="8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501015" cy="182880"/>
                    </a:xfrm>
                    <a:prstGeom prst="rect">
                      <a:avLst/>
                    </a:prstGeom>
                    <a:noFill/>
                    <a:ln>
                      <a:noFill/>
                    </a:ln>
                  </pic:spPr>
                </pic:pic>
              </a:graphicData>
            </a:graphic>
          </wp:inline>
        </w:drawing>
      </w:r>
      <w:r>
        <w:rPr>
          <w:rFonts w:ascii="Times New Roman" w:hAnsi="Times New Roman" w:eastAsia="宋体"/>
          <w:sz w:val="20"/>
          <w:szCs w:val="20"/>
          <w:lang w:bidi="ar"/>
        </w:rPr>
        <w:t xml:space="preserve"> is provided by </w:t>
      </w:r>
      <w:r>
        <w:rPr>
          <w:rFonts w:ascii="Times New Roman" w:hAnsi="Times New Roman" w:eastAsia="宋体"/>
          <w:i/>
          <w:sz w:val="20"/>
          <w:szCs w:val="20"/>
          <w:lang w:bidi="ar"/>
        </w:rPr>
        <w:t>totalNumberOfRA-Preambles</w:t>
      </w:r>
      <w:r>
        <w:rPr>
          <w:rFonts w:ascii="Times New Roman" w:hAnsi="Times New Roman" w:eastAsia="宋体"/>
          <w:sz w:val="20"/>
          <w:szCs w:val="20"/>
          <w:lang w:bidi="ar"/>
        </w:rPr>
        <w:t xml:space="preserve"> for Type-1 random access procedure, or by </w:t>
      </w:r>
      <w:r>
        <w:rPr>
          <w:rFonts w:ascii="Times New Roman" w:hAnsi="Times New Roman" w:eastAsia="宋体"/>
          <w:i/>
          <w:sz w:val="20"/>
          <w:szCs w:val="20"/>
          <w:lang w:bidi="ar"/>
        </w:rPr>
        <w:t>msgA-TotalNumberOfRA-Preambles</w:t>
      </w:r>
      <w:r>
        <w:rPr>
          <w:rFonts w:ascii="Times New Roman" w:hAnsi="Times New Roman" w:eastAsia="宋体"/>
          <w:sz w:val="20"/>
          <w:szCs w:val="20"/>
          <w:lang w:bidi="ar"/>
        </w:rPr>
        <w:t xml:space="preserve"> for Type-2 random access procedure with separate configuration of PRACH occasions from a Type 1 random access procedure, and is an integer multiple of </w:t>
      </w:r>
      <w:r>
        <w:rPr>
          <w:rFonts w:ascii="Times New Roman" w:hAnsi="Times New Roman" w:eastAsia="宋体"/>
          <w:position w:val="-6"/>
          <w:sz w:val="20"/>
          <w:szCs w:val="20"/>
          <w:lang w:eastAsia="en-US" w:bidi="ar"/>
        </w:rPr>
        <w:drawing>
          <wp:inline distT="0" distB="0" distL="114300" distR="114300">
            <wp:extent cx="95250" cy="151130"/>
            <wp:effectExtent l="0" t="0" r="0" b="6350"/>
            <wp:docPr id="8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p>
    <w:p>
      <w:pPr>
        <w:spacing w:after="180" w:line="240" w:lineRule="exact"/>
        <w:rPr>
          <w:sz w:val="20"/>
          <w:szCs w:val="20"/>
        </w:rPr>
      </w:pPr>
      <w:r>
        <w:rPr>
          <w:rFonts w:ascii="Times New Roman" w:hAnsi="Times New Roman" w:eastAsia="宋体"/>
          <w:sz w:val="20"/>
          <w:szCs w:val="20"/>
          <w:lang w:bidi="ar"/>
        </w:rPr>
        <w:t xml:space="preserve">For Type-2 random access procedure with common configuration of PRACH occasions with Type-1 random access procedure,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8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27"/>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one SS/PBCH block index is mapped to </w:t>
      </w:r>
      <w:r>
        <w:rPr>
          <w:rFonts w:ascii="Times New Roman" w:hAnsi="Times New Roman" w:eastAsia="宋体"/>
          <w:position w:val="-6"/>
          <w:sz w:val="20"/>
          <w:szCs w:val="20"/>
          <w:lang w:eastAsia="en-US" w:bidi="ar"/>
        </w:rPr>
        <w:drawing>
          <wp:inline distT="0" distB="0" distL="114300" distR="114300">
            <wp:extent cx="238760" cy="151130"/>
            <wp:effectExtent l="0" t="0" r="15240" b="6350"/>
            <wp:docPr id="8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28"/>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38760" cy="151130"/>
                    </a:xfrm>
                    <a:prstGeom prst="rect">
                      <a:avLst/>
                    </a:prstGeom>
                    <a:noFill/>
                    <a:ln>
                      <a:noFill/>
                    </a:ln>
                  </pic:spPr>
                </pic:pic>
              </a:graphicData>
            </a:graphic>
          </wp:inline>
        </w:drawing>
      </w:r>
      <w:r>
        <w:rPr>
          <w:rFonts w:ascii="Times New Roman" w:hAnsi="Times New Roman" w:eastAsia="宋体"/>
          <w:sz w:val="20"/>
          <w:szCs w:val="20"/>
          <w:lang w:bidi="ar"/>
        </w:rPr>
        <w:t xml:space="preserve"> consecutive valid PRACH occasions and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9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29"/>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the SS/PBCH block index per valid PRACH occasion start from preamble index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9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30"/>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9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1"/>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87630" cy="151130"/>
            <wp:effectExtent l="0" t="0" r="7620" b="6350"/>
            <wp:docPr id="9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32"/>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87630" cy="151130"/>
                    </a:xfrm>
                    <a:prstGeom prst="rect">
                      <a:avLst/>
                    </a:prstGeom>
                    <a:noFill/>
                    <a:ln>
                      <a:noFill/>
                    </a:ln>
                  </pic:spPr>
                </pic:pic>
              </a:graphicData>
            </a:graphic>
          </wp:inline>
        </w:drawing>
      </w:r>
      <w:r>
        <w:rPr>
          <w:rFonts w:ascii="Times New Roman" w:hAnsi="Times New Roman" w:eastAsia="宋体"/>
          <w:sz w:val="20"/>
          <w:szCs w:val="20"/>
          <w:lang w:bidi="ar"/>
        </w:rPr>
        <w:t xml:space="preserve"> contention based preambles with consecutive indexes associated with SS/PBCH block index </w:t>
      </w:r>
      <w:r>
        <w:rPr>
          <w:rFonts w:ascii="Times New Roman" w:hAnsi="Times New Roman" w:eastAsia="宋体"/>
          <w:position w:val="-6"/>
          <w:sz w:val="20"/>
          <w:szCs w:val="20"/>
          <w:lang w:eastAsia="en-US" w:bidi="ar"/>
        </w:rPr>
        <w:drawing>
          <wp:inline distT="0" distB="0" distL="114300" distR="114300">
            <wp:extent cx="71755" cy="151130"/>
            <wp:effectExtent l="0" t="0" r="7620" b="4445"/>
            <wp:docPr id="9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3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71755" cy="151130"/>
                    </a:xfrm>
                    <a:prstGeom prst="rect">
                      <a:avLst/>
                    </a:prstGeom>
                    <a:noFill/>
                    <a:ln>
                      <a:noFill/>
                    </a:ln>
                  </pic:spPr>
                </pic:pic>
              </a:graphicData>
            </a:graphic>
          </wp:inline>
        </w:drawing>
      </w:r>
      <w:r>
        <w:rPr>
          <w:rFonts w:ascii="Times New Roman" w:hAnsi="Times New Roman" w:eastAsia="宋体"/>
          <w:sz w:val="20"/>
          <w:szCs w:val="20"/>
          <w:lang w:bidi="ar"/>
        </w:rPr>
        <w:t xml:space="preserve">, </w:t>
      </w:r>
      <w:r>
        <w:rPr>
          <w:rFonts w:ascii="Times New Roman" w:hAnsi="Times New Roman" w:eastAsia="宋体"/>
          <w:position w:val="-6"/>
          <w:sz w:val="20"/>
          <w:szCs w:val="20"/>
          <w:lang w:eastAsia="en-US" w:bidi="ar"/>
        </w:rPr>
        <w:drawing>
          <wp:inline distT="0" distB="0" distL="114300" distR="114300">
            <wp:extent cx="795020" cy="151130"/>
            <wp:effectExtent l="0" t="0" r="14605" b="635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795020" cy="151130"/>
                    </a:xfrm>
                    <a:prstGeom prst="rect">
                      <a:avLst/>
                    </a:prstGeom>
                    <a:noFill/>
                    <a:ln>
                      <a:noFill/>
                    </a:ln>
                  </pic:spPr>
                </pic:pic>
              </a:graphicData>
            </a:graphic>
          </wp:inline>
        </w:drawing>
      </w:r>
      <w:r>
        <w:rPr>
          <w:rFonts w:ascii="Times New Roman" w:hAnsi="Times New Roman" w:eastAsia="宋体"/>
          <w:sz w:val="20"/>
          <w:szCs w:val="20"/>
          <w:lang w:bidi="ar"/>
        </w:rPr>
        <w:t xml:space="preserve">, per valid PRACH occasion start from preamble index </w:t>
      </w:r>
      <w:r>
        <w:rPr>
          <w:rFonts w:ascii="Times New Roman" w:hAnsi="Times New Roman" w:eastAsia="宋体"/>
          <w:position w:val="-8"/>
          <w:sz w:val="20"/>
          <w:szCs w:val="20"/>
          <w:lang w:eastAsia="en-US" w:bidi="ar"/>
        </w:rPr>
        <w:drawing>
          <wp:inline distT="0" distB="0" distL="114300" distR="114300">
            <wp:extent cx="1057275" cy="182880"/>
            <wp:effectExtent l="0" t="0" r="6350" b="6985"/>
            <wp:docPr id="9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35"/>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1057275" cy="182880"/>
                    </a:xfrm>
                    <a:prstGeom prst="rect">
                      <a:avLst/>
                    </a:prstGeom>
                    <a:noFill/>
                    <a:ln>
                      <a:noFill/>
                    </a:ln>
                  </pic:spPr>
                </pic:pic>
              </a:graphicData>
            </a:graphic>
          </wp:inline>
        </w:drawing>
      </w:r>
      <w:r>
        <w:rPr>
          <w:rFonts w:ascii="Times New Roman" w:hAnsi="Times New Roman" w:eastAsia="宋体"/>
          <w:sz w:val="20"/>
          <w:szCs w:val="20"/>
          <w:lang w:bidi="ar"/>
        </w:rPr>
        <w:t xml:space="preserve">, where </w:t>
      </w:r>
      <w:r>
        <w:rPr>
          <w:rFonts w:ascii="Times New Roman" w:hAnsi="Times New Roman" w:eastAsia="宋体"/>
          <w:position w:val="-8"/>
          <w:sz w:val="20"/>
          <w:szCs w:val="20"/>
          <w:lang w:eastAsia="en-US" w:bidi="ar"/>
        </w:rPr>
        <w:drawing>
          <wp:inline distT="0" distB="0" distL="114300" distR="114300">
            <wp:extent cx="501015" cy="182880"/>
            <wp:effectExtent l="0" t="0" r="6985" b="6985"/>
            <wp:docPr id="9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36"/>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501015" cy="182880"/>
                    </a:xfrm>
                    <a:prstGeom prst="rect">
                      <a:avLst/>
                    </a:prstGeom>
                    <a:noFill/>
                    <a:ln>
                      <a:noFill/>
                    </a:ln>
                  </pic:spPr>
                </pic:pic>
              </a:graphicData>
            </a:graphic>
          </wp:inline>
        </w:drawing>
      </w:r>
      <w:r>
        <w:rPr>
          <w:rFonts w:ascii="Times New Roman" w:hAnsi="Times New Roman" w:eastAsia="宋体"/>
          <w:sz w:val="20"/>
          <w:szCs w:val="20"/>
          <w:lang w:bidi="ar"/>
        </w:rPr>
        <w:t xml:space="preserve"> is provided by </w:t>
      </w:r>
      <w:r>
        <w:rPr>
          <w:rFonts w:ascii="Times New Roman" w:hAnsi="Times New Roman" w:eastAsia="宋体"/>
          <w:i/>
          <w:sz w:val="20"/>
          <w:szCs w:val="20"/>
          <w:lang w:bidi="ar"/>
        </w:rPr>
        <w:t>totalNumberOfRA-Preambles</w:t>
      </w:r>
      <w:r>
        <w:rPr>
          <w:rFonts w:ascii="Times New Roman" w:hAnsi="Times New Roman" w:eastAsia="宋体"/>
          <w:sz w:val="20"/>
          <w:szCs w:val="20"/>
          <w:lang w:bidi="ar"/>
        </w:rPr>
        <w:t xml:space="preserve"> for Type-1 random access procedure.</w:t>
      </w:r>
    </w:p>
    <w:p>
      <w:pPr>
        <w:spacing w:after="180" w:line="240" w:lineRule="exact"/>
        <w:rPr>
          <w:rFonts w:ascii="Times New Roman" w:hAnsi="Times New Roman" w:eastAsia="宋体"/>
          <w:sz w:val="20"/>
          <w:szCs w:val="20"/>
          <w:lang w:bidi="ar"/>
        </w:rPr>
      </w:pPr>
      <w:r>
        <w:rPr>
          <w:rFonts w:ascii="Times New Roman" w:hAnsi="Times New Roman" w:eastAsia="宋体"/>
          <w:color w:val="000000"/>
          <w:sz w:val="20"/>
          <w:szCs w:val="20"/>
          <w:lang w:bidi="ar"/>
        </w:rPr>
        <w:t xml:space="preserve">For link recovery, a UE is provided </w:t>
      </w:r>
      <w:r>
        <w:rPr>
          <w:rFonts w:ascii="Times New Roman" w:hAnsi="Times New Roman" w:eastAsia="宋体"/>
          <w:position w:val="-6"/>
          <w:sz w:val="20"/>
          <w:szCs w:val="20"/>
          <w:lang w:eastAsia="en-US" w:bidi="ar"/>
        </w:rPr>
        <w:drawing>
          <wp:inline distT="0" distB="0" distL="114300" distR="114300">
            <wp:extent cx="95250" cy="151130"/>
            <wp:effectExtent l="0" t="0" r="0" b="6350"/>
            <wp:docPr id="9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37"/>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SS/PBCH block </w:t>
      </w:r>
      <w:r>
        <w:rPr>
          <w:rFonts w:ascii="Times New Roman" w:hAnsi="Times New Roman" w:eastAsia="宋体"/>
          <w:sz w:val="20"/>
          <w:szCs w:val="20"/>
          <w:lang w:bidi="ar"/>
        </w:rPr>
        <w:t xml:space="preserve">indexes </w:t>
      </w:r>
      <w:r>
        <w:rPr>
          <w:rFonts w:ascii="Times New Roman" w:hAnsi="Times New Roman" w:eastAsia="宋体"/>
          <w:color w:val="000000"/>
          <w:sz w:val="20"/>
          <w:szCs w:val="20"/>
          <w:lang w:bidi="ar"/>
        </w:rPr>
        <w:t xml:space="preserve">associated with one PRACH occasion by </w:t>
      </w:r>
      <w:r>
        <w:rPr>
          <w:rFonts w:ascii="Times New Roman" w:hAnsi="Times New Roman" w:eastAsia="宋体"/>
          <w:i/>
          <w:iCs/>
          <w:color w:val="000000"/>
          <w:sz w:val="20"/>
          <w:szCs w:val="20"/>
          <w:lang w:bidi="ar"/>
        </w:rPr>
        <w:t>ssb-perRACH-Occasion</w:t>
      </w:r>
      <w:r>
        <w:rPr>
          <w:rFonts w:ascii="Times New Roman" w:hAnsi="Times New Roman" w:eastAsia="宋体"/>
          <w:color w:val="000000"/>
          <w:sz w:val="20"/>
          <w:szCs w:val="20"/>
          <w:lang w:bidi="ar"/>
        </w:rPr>
        <w:t xml:space="preserve"> in </w:t>
      </w:r>
      <w:r>
        <w:rPr>
          <w:rFonts w:ascii="Times New Roman" w:hAnsi="Times New Roman" w:eastAsia="宋体"/>
          <w:i/>
          <w:iCs/>
          <w:color w:val="000000"/>
          <w:sz w:val="20"/>
          <w:szCs w:val="20"/>
          <w:lang w:bidi="ar"/>
        </w:rPr>
        <w:t>BeamFailureRecoveryConfig</w:t>
      </w:r>
      <w:r>
        <w:rPr>
          <w:rFonts w:ascii="Times New Roman" w:hAnsi="Times New Roman" w:eastAsia="宋体"/>
          <w:color w:val="000000"/>
          <w:sz w:val="20"/>
          <w:szCs w:val="20"/>
          <w:lang w:bidi="ar"/>
        </w:rPr>
        <w:t xml:space="preserve">. </w:t>
      </w:r>
      <w:r>
        <w:rPr>
          <w:rFonts w:ascii="Times New Roman" w:hAnsi="Times New Roman" w:eastAsia="宋体"/>
          <w:sz w:val="20"/>
          <w:szCs w:val="20"/>
          <w:lang w:bidi="ar"/>
        </w:rPr>
        <w:t xml:space="preserve">For a dedicated RACH configuration provided by </w:t>
      </w:r>
      <w:r>
        <w:rPr>
          <w:rFonts w:ascii="Times New Roman" w:hAnsi="Times New Roman" w:eastAsia="宋体"/>
          <w:i/>
          <w:sz w:val="20"/>
          <w:szCs w:val="20"/>
          <w:lang w:bidi="ar"/>
        </w:rPr>
        <w:t>RACH-ConfigDedicated</w:t>
      </w:r>
      <w:r>
        <w:rPr>
          <w:rFonts w:ascii="Times New Roman" w:hAnsi="Times New Roman" w:eastAsia="宋体"/>
          <w:sz w:val="20"/>
          <w:szCs w:val="20"/>
          <w:lang w:bidi="ar"/>
        </w:rPr>
        <w:t xml:space="preserve">, if </w:t>
      </w:r>
      <w:r>
        <w:rPr>
          <w:rFonts w:ascii="Times New Roman" w:hAnsi="Times New Roman" w:eastAsia="宋体"/>
          <w:i/>
          <w:sz w:val="20"/>
          <w:szCs w:val="20"/>
          <w:lang w:bidi="ar"/>
        </w:rPr>
        <w:t>cfra</w:t>
      </w:r>
      <w:r>
        <w:rPr>
          <w:rFonts w:ascii="Times New Roman" w:hAnsi="Times New Roman" w:eastAsia="宋体"/>
          <w:sz w:val="20"/>
          <w:szCs w:val="20"/>
          <w:lang w:bidi="ar"/>
        </w:rPr>
        <w:t xml:space="preserve"> is provided, </w:t>
      </w:r>
      <w:r>
        <w:rPr>
          <w:rFonts w:ascii="Times New Roman" w:hAnsi="Times New Roman" w:eastAsia="宋体"/>
          <w:color w:val="000000"/>
          <w:sz w:val="20"/>
          <w:szCs w:val="20"/>
          <w:lang w:bidi="ar"/>
        </w:rPr>
        <w:t xml:space="preserve">a UE is provided </w:t>
      </w:r>
      <w:r>
        <w:rPr>
          <w:rFonts w:ascii="Times New Roman" w:hAnsi="Times New Roman" w:eastAsia="宋体"/>
          <w:position w:val="-6"/>
          <w:sz w:val="20"/>
          <w:szCs w:val="20"/>
          <w:lang w:eastAsia="en-US" w:bidi="ar"/>
        </w:rPr>
        <w:drawing>
          <wp:inline distT="0" distB="0" distL="114300" distR="114300">
            <wp:extent cx="95250" cy="151130"/>
            <wp:effectExtent l="0" t="0" r="0" b="6350"/>
            <wp:docPr id="9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8"/>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SS/PBCH block </w:t>
      </w:r>
      <w:r>
        <w:rPr>
          <w:rFonts w:ascii="Times New Roman" w:hAnsi="Times New Roman" w:eastAsia="宋体"/>
          <w:sz w:val="20"/>
          <w:szCs w:val="20"/>
          <w:lang w:bidi="ar"/>
        </w:rPr>
        <w:t xml:space="preserve">indexes </w:t>
      </w:r>
      <w:r>
        <w:rPr>
          <w:rFonts w:ascii="Times New Roman" w:hAnsi="Times New Roman" w:eastAsia="宋体"/>
          <w:color w:val="000000"/>
          <w:sz w:val="20"/>
          <w:szCs w:val="20"/>
          <w:lang w:bidi="ar"/>
        </w:rPr>
        <w:t xml:space="preserve">associated with one PRACH occasion by </w:t>
      </w:r>
      <w:r>
        <w:rPr>
          <w:rFonts w:ascii="Times New Roman" w:hAnsi="Times New Roman" w:eastAsia="宋体"/>
          <w:i/>
          <w:iCs/>
          <w:color w:val="000000"/>
          <w:sz w:val="20"/>
          <w:szCs w:val="20"/>
          <w:lang w:bidi="ar"/>
        </w:rPr>
        <w:t>ssb-perRACH-Occasion</w:t>
      </w:r>
      <w:r>
        <w:rPr>
          <w:rFonts w:ascii="Times New Roman" w:hAnsi="Times New Roman" w:eastAsia="宋体"/>
          <w:color w:val="000000"/>
          <w:sz w:val="20"/>
          <w:szCs w:val="20"/>
          <w:lang w:bidi="ar"/>
        </w:rPr>
        <w:t xml:space="preserve"> in </w:t>
      </w:r>
      <w:r>
        <w:rPr>
          <w:rFonts w:ascii="Times New Roman" w:hAnsi="Times New Roman" w:eastAsia="宋体"/>
          <w:i/>
          <w:iCs/>
          <w:color w:val="000000"/>
          <w:sz w:val="20"/>
          <w:szCs w:val="20"/>
          <w:lang w:bidi="ar"/>
        </w:rPr>
        <w:t>occasions</w:t>
      </w:r>
      <w:r>
        <w:rPr>
          <w:rFonts w:ascii="Times New Roman" w:hAnsi="Times New Roman" w:eastAsia="宋体"/>
          <w:color w:val="000000"/>
          <w:sz w:val="20"/>
          <w:szCs w:val="20"/>
          <w:lang w:bidi="ar"/>
        </w:rPr>
        <w:t xml:space="preserve">. </w:t>
      </w:r>
      <w:r>
        <w:rPr>
          <w:rFonts w:ascii="Times New Roman" w:hAnsi="Times New Roman" w:eastAsia="宋体"/>
          <w:sz w:val="20"/>
          <w:szCs w:val="20"/>
          <w:lang w:bidi="ar"/>
        </w:rPr>
        <w:t xml:space="preserve">For the PRACH transmission on a candidate cell [38.213, clause 21], </w:t>
      </w:r>
      <w:r>
        <w:rPr>
          <w:rFonts w:ascii="Times New Roman" w:hAnsi="Times New Roman" w:eastAsia="宋体"/>
          <w:color w:val="000000"/>
          <w:sz w:val="20"/>
          <w:szCs w:val="20"/>
          <w:lang w:bidi="ar"/>
        </w:rPr>
        <w:t xml:space="preserve">a UE is provided </w:t>
      </w:r>
      <w:r>
        <w:rPr>
          <w:rFonts w:ascii="Times New Roman" w:hAnsi="Times New Roman" w:eastAsia="宋体"/>
          <w:position w:val="-6"/>
          <w:sz w:val="20"/>
          <w:szCs w:val="20"/>
          <w:lang w:eastAsia="en-US" w:bidi="ar"/>
        </w:rPr>
        <w:drawing>
          <wp:inline distT="0" distB="0" distL="114300" distR="114300">
            <wp:extent cx="95250" cy="151130"/>
            <wp:effectExtent l="0" t="0" r="0" b="6350"/>
            <wp:docPr id="10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39"/>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SS/PBCH block </w:t>
      </w:r>
      <w:r>
        <w:rPr>
          <w:rFonts w:ascii="Times New Roman" w:hAnsi="Times New Roman" w:eastAsia="宋体"/>
          <w:sz w:val="20"/>
          <w:szCs w:val="20"/>
          <w:lang w:bidi="ar"/>
        </w:rPr>
        <w:t xml:space="preserve">indexes </w:t>
      </w:r>
      <w:r>
        <w:rPr>
          <w:rFonts w:ascii="Times New Roman" w:hAnsi="Times New Roman" w:eastAsia="宋体"/>
          <w:color w:val="000000"/>
          <w:sz w:val="20"/>
          <w:szCs w:val="20"/>
          <w:lang w:bidi="ar"/>
        </w:rPr>
        <w:t xml:space="preserve">associated with one PRACH occasion by </w:t>
      </w:r>
      <w:r>
        <w:rPr>
          <w:rFonts w:ascii="Times New Roman" w:hAnsi="Times New Roman" w:eastAsia="宋体"/>
          <w:i/>
          <w:iCs/>
          <w:color w:val="000000"/>
          <w:sz w:val="20"/>
          <w:szCs w:val="20"/>
          <w:lang w:bidi="ar"/>
        </w:rPr>
        <w:t>ssb-PerRACH-Occasion-r18</w:t>
      </w:r>
      <w:r>
        <w:rPr>
          <w:rFonts w:ascii="Times New Roman" w:hAnsi="Times New Roman" w:eastAsia="宋体"/>
          <w:color w:val="000000"/>
          <w:sz w:val="20"/>
          <w:szCs w:val="20"/>
          <w:lang w:bidi="ar"/>
        </w:rPr>
        <w:t xml:space="preserve"> in </w:t>
      </w:r>
      <w:r>
        <w:rPr>
          <w:rFonts w:ascii="Times New Roman" w:hAnsi="Times New Roman" w:eastAsia="宋体"/>
          <w:i/>
          <w:iCs/>
          <w:sz w:val="20"/>
          <w:szCs w:val="20"/>
          <w:lang w:bidi="ar"/>
        </w:rPr>
        <w:t>EarlyUL-SyncConfig</w:t>
      </w:r>
      <w:r>
        <w:rPr>
          <w:rFonts w:ascii="Times New Roman" w:hAnsi="Times New Roman" w:eastAsia="宋体"/>
          <w:color w:val="000000"/>
          <w:sz w:val="20"/>
          <w:szCs w:val="20"/>
          <w:lang w:bidi="ar"/>
        </w:rPr>
        <w:t xml:space="preserve">.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10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40"/>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color w:val="000000"/>
          <w:sz w:val="20"/>
          <w:szCs w:val="20"/>
          <w:lang w:bidi="ar"/>
        </w:rPr>
        <w:t>, one SS/PBCH block</w:t>
      </w:r>
      <w:r>
        <w:rPr>
          <w:rFonts w:ascii="Times New Roman" w:hAnsi="Times New Roman" w:eastAsia="宋体"/>
          <w:sz w:val="20"/>
          <w:szCs w:val="20"/>
          <w:lang w:bidi="ar"/>
        </w:rPr>
        <w:t xml:space="preserve"> index</w:t>
      </w:r>
      <w:r>
        <w:rPr>
          <w:rFonts w:ascii="Times New Roman" w:hAnsi="Times New Roman" w:eastAsia="宋体"/>
          <w:color w:val="000000"/>
          <w:sz w:val="20"/>
          <w:szCs w:val="20"/>
          <w:lang w:bidi="ar"/>
        </w:rPr>
        <w:t xml:space="preserve"> is mapped to </w:t>
      </w:r>
      <w:r>
        <w:rPr>
          <w:rFonts w:ascii="Times New Roman" w:hAnsi="Times New Roman" w:eastAsia="宋体"/>
          <w:position w:val="-6"/>
          <w:sz w:val="20"/>
          <w:szCs w:val="20"/>
          <w:lang w:eastAsia="en-US" w:bidi="ar"/>
        </w:rPr>
        <w:drawing>
          <wp:inline distT="0" distB="0" distL="114300" distR="114300">
            <wp:extent cx="238760" cy="151130"/>
            <wp:effectExtent l="0" t="0" r="15240" b="6350"/>
            <wp:docPr id="10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4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38760" cy="151130"/>
                    </a:xfrm>
                    <a:prstGeom prst="rect">
                      <a:avLst/>
                    </a:prstGeom>
                    <a:noFill/>
                    <a:ln>
                      <a:noFill/>
                    </a:ln>
                  </pic:spPr>
                </pic:pic>
              </a:graphicData>
            </a:graphic>
          </wp:inline>
        </w:drawing>
      </w:r>
      <w:r>
        <w:rPr>
          <w:rFonts w:ascii="Times New Roman" w:hAnsi="Times New Roman" w:eastAsia="宋体"/>
          <w:color w:val="000000"/>
          <w:sz w:val="20"/>
          <w:szCs w:val="20"/>
          <w:lang w:bidi="ar"/>
        </w:rPr>
        <w:t xml:space="preserve"> consecutive valid PRACH</w:t>
      </w:r>
      <w:r>
        <w:rPr>
          <w:rFonts w:ascii="Times New Roman" w:hAnsi="Times New Roman" w:eastAsia="宋体"/>
          <w:sz w:val="20"/>
          <w:szCs w:val="20"/>
          <w:lang w:bidi="ar"/>
        </w:rPr>
        <w:t xml:space="preserve"> occasions. If </w:t>
      </w:r>
      <w:r>
        <w:rPr>
          <w:rFonts w:ascii="Times New Roman" w:hAnsi="Times New Roman" w:eastAsia="宋体"/>
          <w:position w:val="-6"/>
          <w:sz w:val="20"/>
          <w:szCs w:val="20"/>
          <w:lang w:eastAsia="en-US" w:bidi="ar"/>
        </w:rPr>
        <w:drawing>
          <wp:inline distT="0" distB="0" distL="114300" distR="114300">
            <wp:extent cx="334010" cy="151130"/>
            <wp:effectExtent l="0" t="0" r="15240" b="6350"/>
            <wp:docPr id="10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4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34010" cy="151130"/>
                    </a:xfrm>
                    <a:prstGeom prst="rect">
                      <a:avLst/>
                    </a:prstGeom>
                    <a:noFill/>
                    <a:ln>
                      <a:noFill/>
                    </a:ln>
                  </pic:spPr>
                </pic:pic>
              </a:graphicData>
            </a:graphic>
          </wp:inline>
        </w:drawing>
      </w:r>
      <w:r>
        <w:rPr>
          <w:rFonts w:ascii="Times New Roman" w:hAnsi="Times New Roman" w:eastAsia="宋体"/>
          <w:sz w:val="20"/>
          <w:szCs w:val="20"/>
          <w:lang w:bidi="ar"/>
        </w:rPr>
        <w:t xml:space="preserve">, all consecutive </w:t>
      </w:r>
      <w:r>
        <w:rPr>
          <w:rFonts w:ascii="Times New Roman" w:hAnsi="Times New Roman" w:eastAsia="宋体"/>
          <w:position w:val="-6"/>
          <w:sz w:val="20"/>
          <w:szCs w:val="20"/>
          <w:lang w:eastAsia="en-US" w:bidi="ar"/>
        </w:rPr>
        <w:drawing>
          <wp:inline distT="0" distB="0" distL="114300" distR="114300">
            <wp:extent cx="95250" cy="151130"/>
            <wp:effectExtent l="0" t="0" r="0" b="6350"/>
            <wp:docPr id="10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4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95250" cy="151130"/>
                    </a:xfrm>
                    <a:prstGeom prst="rect">
                      <a:avLst/>
                    </a:prstGeom>
                    <a:noFill/>
                    <a:ln>
                      <a:noFill/>
                    </a:ln>
                  </pic:spPr>
                </pic:pic>
              </a:graphicData>
            </a:graphic>
          </wp:inline>
        </w:drawing>
      </w:r>
      <w:r>
        <w:rPr>
          <w:rFonts w:ascii="Times New Roman" w:hAnsi="Times New Roman" w:eastAsia="宋体"/>
          <w:sz w:val="20"/>
          <w:szCs w:val="20"/>
          <w:lang w:bidi="ar"/>
        </w:rPr>
        <w:t xml:space="preserve"> SS/PBCH block indexes are associated with one PRACH occasion. </w:t>
      </w:r>
    </w:p>
    <w:p>
      <w:pPr>
        <w:spacing w:after="180" w:line="240" w:lineRule="exact"/>
        <w:rPr>
          <w:rFonts w:ascii="Times New Roman" w:hAnsi="Times New Roman" w:eastAsia="宋体"/>
          <w:color w:val="FF0000"/>
          <w:sz w:val="20"/>
          <w:szCs w:val="20"/>
          <w:lang w:bidi="ar"/>
        </w:rPr>
      </w:pPr>
      <w:r>
        <w:rPr>
          <w:rFonts w:hint="eastAsia" w:ascii="Times New Roman" w:hAnsi="Times New Roman" w:eastAsia="宋体"/>
          <w:color w:val="FF0000"/>
          <w:sz w:val="20"/>
          <w:szCs w:val="20"/>
          <w:lang w:bidi="ar"/>
        </w:rPr>
        <w:t>F</w:t>
      </w:r>
      <w:r>
        <w:rPr>
          <w:rFonts w:ascii="Times New Roman" w:hAnsi="Times New Roman" w:eastAsia="Malgun Gothic"/>
          <w:color w:val="FF0000"/>
          <w:sz w:val="20"/>
          <w:szCs w:val="20"/>
          <w:lang w:eastAsia="ko" w:bidi="ar"/>
        </w:rPr>
        <w:t>or candidate cell</w:t>
      </w:r>
      <w:r>
        <w:rPr>
          <w:rFonts w:hint="eastAsia" w:ascii="Times New Roman" w:hAnsi="Times New Roman" w:eastAsia="宋体"/>
          <w:color w:val="FF0000"/>
          <w:sz w:val="20"/>
          <w:szCs w:val="20"/>
          <w:lang w:bidi="ar"/>
        </w:rPr>
        <w:t>s</w:t>
      </w:r>
      <w:r>
        <w:rPr>
          <w:rFonts w:ascii="Times New Roman" w:hAnsi="Times New Roman" w:eastAsia="Malgun Gothic"/>
          <w:color w:val="FF0000"/>
          <w:sz w:val="20"/>
          <w:szCs w:val="20"/>
          <w:lang w:eastAsia="ko" w:bidi="ar"/>
        </w:rPr>
        <w:t xml:space="preserve"> configured by LTM-Config,</w:t>
      </w:r>
      <w:r>
        <w:rPr>
          <w:rFonts w:hint="eastAsia" w:ascii="Times New Roman" w:hAnsi="Times New Roman" w:eastAsia="宋体"/>
          <w:color w:val="FF0000"/>
          <w:sz w:val="20"/>
          <w:szCs w:val="20"/>
          <w:lang w:bidi="ar"/>
        </w:rPr>
        <w:t xml:space="preserve"> UE is expected to transmit PRACH if overlapping between SSB and PRACH transmission associated with different cells happen</w:t>
      </w:r>
      <w:r>
        <w:rPr>
          <w:rFonts w:hint="eastAsia" w:ascii="Times New Roman" w:hAnsi="Times New Roman" w:eastAsia="宋体"/>
          <w:color w:val="FF0000"/>
          <w:sz w:val="20"/>
          <w:szCs w:val="20"/>
          <w:lang w:val="en-US" w:eastAsia="zh-CN" w:bidi="ar"/>
        </w:rPr>
        <w:t>s</w:t>
      </w:r>
      <w:r>
        <w:rPr>
          <w:rFonts w:hint="eastAsia" w:ascii="Times New Roman" w:hAnsi="Times New Roman" w:eastAsia="宋体"/>
          <w:color w:val="FF0000"/>
          <w:sz w:val="20"/>
          <w:szCs w:val="20"/>
          <w:lang w:bidi="ar"/>
        </w:rPr>
        <w:t xml:space="preserve"> outside a measurement gap.  </w:t>
      </w:r>
    </w:p>
    <w:p>
      <w:pPr>
        <w:spacing w:after="180" w:line="240" w:lineRule="exact"/>
        <w:rPr>
          <w:sz w:val="20"/>
          <w:szCs w:val="20"/>
        </w:rPr>
      </w:pPr>
      <w:r>
        <w:rPr>
          <w:rFonts w:ascii="Times New Roman" w:hAnsi="Times New Roman" w:eastAsia="宋体"/>
          <w:sz w:val="20"/>
          <w:szCs w:val="20"/>
          <w:lang w:bidi="ar"/>
        </w:rPr>
        <w:t xml:space="preserve">SS/PBCH block indexes provided by </w:t>
      </w:r>
      <w:r>
        <w:rPr>
          <w:rFonts w:ascii="Times New Roman" w:hAnsi="Times New Roman" w:eastAsia="宋体"/>
          <w:i/>
          <w:sz w:val="20"/>
          <w:szCs w:val="20"/>
          <w:lang w:bidi="ar"/>
        </w:rPr>
        <w:t>ssb-PositionsInBurst</w:t>
      </w:r>
      <w:r>
        <w:rPr>
          <w:rFonts w:ascii="Times New Roman" w:hAnsi="Times New Roman" w:eastAsia="宋体"/>
          <w:sz w:val="20"/>
          <w:szCs w:val="20"/>
          <w:lang w:bidi="ar"/>
        </w:rPr>
        <w:t xml:space="preserve"> in </w:t>
      </w:r>
      <w:r>
        <w:rPr>
          <w:rFonts w:ascii="Times New Roman" w:hAnsi="Times New Roman" w:eastAsia="宋体"/>
          <w:i/>
          <w:sz w:val="20"/>
          <w:szCs w:val="20"/>
          <w:lang w:bidi="ar"/>
        </w:rPr>
        <w:t>SIB1</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ServingCellConfigCommon</w:t>
      </w:r>
      <w:r>
        <w:rPr>
          <w:rFonts w:ascii="Times New Roman" w:hAnsi="Times New Roman" w:eastAsia="宋体"/>
          <w:sz w:val="20"/>
          <w:szCs w:val="20"/>
          <w:lang w:bidi="ar"/>
        </w:rPr>
        <w:t xml:space="preserve"> or in </w:t>
      </w:r>
      <w:r>
        <w:rPr>
          <w:rFonts w:ascii="Times New Roman" w:hAnsi="Times New Roman" w:eastAsia="宋体"/>
          <w:i/>
          <w:iCs/>
          <w:sz w:val="20"/>
          <w:szCs w:val="20"/>
          <w:lang w:bidi="ar"/>
        </w:rPr>
        <w:t>SSB-MTC-AdditionalPCI</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LTM-SSB-Config</w:t>
      </w:r>
      <w:r>
        <w:rPr>
          <w:rFonts w:ascii="Times New Roman" w:hAnsi="Times New Roman" w:eastAsia="宋体"/>
          <w:sz w:val="20"/>
          <w:szCs w:val="20"/>
          <w:lang w:bidi="ar"/>
        </w:rPr>
        <w:t xml:space="preserve"> are mapped to valid PRACH occasions in the following order where the parameters are described in [4, TS 38.211].</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First, in increasing order of preamble indexes within a single PRACH occasion</w:t>
      </w:r>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Second, in increasing order of frequency resource indexes for frequency multiplexed PRACH occasions</w:t>
      </w:r>
    </w:p>
    <w:p>
      <w:pPr>
        <w:pStyle w:val="26"/>
        <w:spacing w:after="180" w:line="240" w:lineRule="exact"/>
        <w:ind w:left="568" w:hanging="284"/>
        <w:rPr>
          <w:rFonts w:ascii="Times New Roman" w:hAnsi="Times New Roman" w:eastAsia="宋体" w:cs="Times New Roman"/>
          <w:sz w:val="20"/>
          <w:szCs w:val="20"/>
          <w:lang w:bidi="ar"/>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Third, in increasing order of time resource indexes for time multiplexed PRACH occasions within a PRACH slot</w:t>
      </w:r>
      <w:bookmarkStart w:id="29" w:name="_GoBack"/>
      <w:bookmarkEnd w:id="29"/>
    </w:p>
    <w:p>
      <w:pPr>
        <w:pStyle w:val="26"/>
        <w:spacing w:after="180" w:line="240" w:lineRule="exact"/>
        <w:ind w:left="568" w:hanging="284"/>
        <w:rPr>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eastAsia="en-US" w:bidi="ar"/>
        </w:rPr>
        <w:t>Fourth, in increasing order of indexes for PRACH slots</w:t>
      </w:r>
    </w:p>
    <w:p>
      <w:pPr>
        <w:pStyle w:val="91"/>
        <w:snapToGrid w:val="0"/>
      </w:pPr>
    </w:p>
    <w:sectPr>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n-cs">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B51C5B40"/>
    <w:multiLevelType w:val="multilevel"/>
    <w:tmpl w:val="B51C5B40"/>
    <w:lvl w:ilvl="0" w:tentative="0">
      <w:start w:val="4"/>
      <w:numFmt w:val="bullet"/>
      <w:lvlText w:val="-"/>
      <w:lvlJc w:val="left"/>
      <w:pPr>
        <w:ind w:left="360" w:hanging="360"/>
      </w:pPr>
      <w:rPr>
        <w:rFonts w:ascii="Arial" w:hAnsi="Arial" w:eastAsia="Yu Mincho" w:cs="Arial"/>
      </w:rPr>
    </w:lvl>
    <w:lvl w:ilvl="1" w:tentative="0">
      <w:start w:val="1"/>
      <w:numFmt w:val="bullet"/>
      <w:lvlText w:val="o"/>
      <w:lvlJc w:val="left"/>
      <w:pPr>
        <w:ind w:left="1080" w:hanging="360"/>
      </w:pPr>
      <w:rPr>
        <w:rFonts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2">
    <w:nsid w:val="B69A8F53"/>
    <w:multiLevelType w:val="singleLevel"/>
    <w:tmpl w:val="B69A8F53"/>
    <w:lvl w:ilvl="0" w:tentative="0">
      <w:start w:val="1"/>
      <w:numFmt w:val="bullet"/>
      <w:lvlText w:val="-"/>
      <w:lvlJc w:val="left"/>
      <w:pPr>
        <w:tabs>
          <w:tab w:val="left" w:pos="420"/>
        </w:tabs>
        <w:ind w:left="840" w:hanging="420"/>
      </w:pPr>
      <w:rPr>
        <w:rFonts w:hint="default" w:ascii="Arial" w:hAnsi="Arial" w:cs="Arial"/>
      </w:rPr>
    </w:lvl>
  </w:abstractNum>
  <w:abstractNum w:abstractNumId="3">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F49574C3"/>
    <w:multiLevelType w:val="singleLevel"/>
    <w:tmpl w:val="F49574C3"/>
    <w:lvl w:ilvl="0" w:tentative="0">
      <w:start w:val="1"/>
      <w:numFmt w:val="bullet"/>
      <w:lvlText w:val="•"/>
      <w:lvlJc w:val="left"/>
      <w:pPr>
        <w:ind w:left="420" w:hanging="420"/>
      </w:pPr>
      <w:rPr>
        <w:rFonts w:hint="default" w:ascii="Arial" w:hAnsi="Arial" w:cs="Arial"/>
      </w:rPr>
    </w:lvl>
  </w:abstractNum>
  <w:abstractNum w:abstractNumId="5">
    <w:nsid w:val="0DEE0712"/>
    <w:multiLevelType w:val="singleLevel"/>
    <w:tmpl w:val="0DEE0712"/>
    <w:lvl w:ilvl="0" w:tentative="0">
      <w:start w:val="1"/>
      <w:numFmt w:val="bullet"/>
      <w:lvlText w:val="•"/>
      <w:lvlJc w:val="left"/>
      <w:pPr>
        <w:ind w:left="420" w:hanging="420"/>
      </w:pPr>
      <w:rPr>
        <w:rFonts w:hint="default" w:ascii="Arial" w:hAnsi="Arial" w:cs="Arial"/>
      </w:rPr>
    </w:lvl>
  </w:abstractNum>
  <w:abstractNum w:abstractNumId="6">
    <w:nsid w:val="1CD71883"/>
    <w:multiLevelType w:val="multilevel"/>
    <w:tmpl w:val="1CD71883"/>
    <w:lvl w:ilvl="0" w:tentative="0">
      <w:start w:val="1"/>
      <w:numFmt w:val="decimal"/>
      <w:pStyle w:val="125"/>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101505E"/>
    <w:multiLevelType w:val="multilevel"/>
    <w:tmpl w:val="5101505E"/>
    <w:lvl w:ilvl="0" w:tentative="0">
      <w:start w:val="1"/>
      <w:numFmt w:val="decimal"/>
      <w:pStyle w:val="12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E93823A"/>
    <w:multiLevelType w:val="singleLevel"/>
    <w:tmpl w:val="5E93823A"/>
    <w:lvl w:ilvl="0" w:tentative="0">
      <w:start w:val="1"/>
      <w:numFmt w:val="decimal"/>
      <w:suff w:val="space"/>
      <w:lvlText w:val="[%1]"/>
      <w:lvlJc w:val="left"/>
    </w:lvl>
  </w:abstractNum>
  <w:num w:numId="1">
    <w:abstractNumId w:val="3"/>
  </w:num>
  <w:num w:numId="2">
    <w:abstractNumId w:val="0"/>
  </w:num>
  <w:num w:numId="3">
    <w:abstractNumId w:val="7"/>
  </w:num>
  <w:num w:numId="4">
    <w:abstractNumId w:val="6"/>
  </w:num>
  <w:num w:numId="5">
    <w:abstractNumId w:val="1"/>
  </w:num>
  <w:num w:numId="6">
    <w:abstractNumId w:val="4"/>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footnotePr>
    <w:numRestart w:val="eachSect"/>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81C"/>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979"/>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4A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ABE"/>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2AE9"/>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13BA5"/>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967C8"/>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E5BD6"/>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D3AC4"/>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D5DCC"/>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BC441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86858"/>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8F61ED"/>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52951"/>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2E624C"/>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53D9B"/>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97E4E"/>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6A315D"/>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A518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D49A3"/>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436C4"/>
    <w:rsid w:val="20495DD8"/>
    <w:rsid w:val="204B6316"/>
    <w:rsid w:val="204C7C1A"/>
    <w:rsid w:val="204D3C8B"/>
    <w:rsid w:val="204D6F97"/>
    <w:rsid w:val="20502A11"/>
    <w:rsid w:val="20507F06"/>
    <w:rsid w:val="20517C71"/>
    <w:rsid w:val="20594BEA"/>
    <w:rsid w:val="20596EAE"/>
    <w:rsid w:val="205A6767"/>
    <w:rsid w:val="205C19D4"/>
    <w:rsid w:val="205D2A9E"/>
    <w:rsid w:val="205D4887"/>
    <w:rsid w:val="205F25DD"/>
    <w:rsid w:val="20611AF5"/>
    <w:rsid w:val="2063268B"/>
    <w:rsid w:val="20636415"/>
    <w:rsid w:val="206664D4"/>
    <w:rsid w:val="20694591"/>
    <w:rsid w:val="206A1605"/>
    <w:rsid w:val="206D525E"/>
    <w:rsid w:val="207A7253"/>
    <w:rsid w:val="207C2B34"/>
    <w:rsid w:val="207D2005"/>
    <w:rsid w:val="20807156"/>
    <w:rsid w:val="20837375"/>
    <w:rsid w:val="20854EC2"/>
    <w:rsid w:val="20867D8F"/>
    <w:rsid w:val="20877693"/>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DA5E4E"/>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05BA"/>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21FD"/>
    <w:rsid w:val="2E14569B"/>
    <w:rsid w:val="2E1502F0"/>
    <w:rsid w:val="2E1F1A31"/>
    <w:rsid w:val="2E205229"/>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2F53"/>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75F46"/>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9E00F5"/>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C72BC"/>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106DC"/>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22639"/>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56CA9"/>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39DA"/>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C6226"/>
    <w:rsid w:val="3E74301D"/>
    <w:rsid w:val="3E74610F"/>
    <w:rsid w:val="3E77337D"/>
    <w:rsid w:val="3E79217F"/>
    <w:rsid w:val="3E796792"/>
    <w:rsid w:val="3E7D0CB0"/>
    <w:rsid w:val="3E7D2494"/>
    <w:rsid w:val="3E7D7398"/>
    <w:rsid w:val="3E850127"/>
    <w:rsid w:val="3E850395"/>
    <w:rsid w:val="3E85512E"/>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0E2D3E"/>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954A7"/>
    <w:rsid w:val="3F595A74"/>
    <w:rsid w:val="3F5E3729"/>
    <w:rsid w:val="3F5E58F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B001F"/>
    <w:rsid w:val="400E4827"/>
    <w:rsid w:val="400F1A7E"/>
    <w:rsid w:val="4013650D"/>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567E9"/>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415"/>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31435"/>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A56AF"/>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678D"/>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56773"/>
    <w:rsid w:val="4B8A674C"/>
    <w:rsid w:val="4B8F1479"/>
    <w:rsid w:val="4B8F2EB1"/>
    <w:rsid w:val="4B924EC9"/>
    <w:rsid w:val="4B927A06"/>
    <w:rsid w:val="4B9419F7"/>
    <w:rsid w:val="4B985B74"/>
    <w:rsid w:val="4B9B0E7F"/>
    <w:rsid w:val="4B9E2880"/>
    <w:rsid w:val="4BA14908"/>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A4204"/>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93FC7"/>
    <w:rsid w:val="4E3A10AC"/>
    <w:rsid w:val="4E4268A0"/>
    <w:rsid w:val="4E450263"/>
    <w:rsid w:val="4E467BC9"/>
    <w:rsid w:val="4E48023D"/>
    <w:rsid w:val="4E4A43DD"/>
    <w:rsid w:val="4E4B6E3D"/>
    <w:rsid w:val="4E4D33C9"/>
    <w:rsid w:val="4E4F3708"/>
    <w:rsid w:val="4E500710"/>
    <w:rsid w:val="4E530E29"/>
    <w:rsid w:val="4E5516ED"/>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1752F"/>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147E8"/>
    <w:rsid w:val="5584057B"/>
    <w:rsid w:val="55877F52"/>
    <w:rsid w:val="55880BA6"/>
    <w:rsid w:val="558A5663"/>
    <w:rsid w:val="558D5021"/>
    <w:rsid w:val="558F35A7"/>
    <w:rsid w:val="55927D1F"/>
    <w:rsid w:val="55985654"/>
    <w:rsid w:val="559A4FD6"/>
    <w:rsid w:val="559A5BFB"/>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25B84"/>
    <w:rsid w:val="56254844"/>
    <w:rsid w:val="562C01AC"/>
    <w:rsid w:val="562C48A4"/>
    <w:rsid w:val="562E289A"/>
    <w:rsid w:val="562F67FE"/>
    <w:rsid w:val="56316AE5"/>
    <w:rsid w:val="5632588F"/>
    <w:rsid w:val="5635337A"/>
    <w:rsid w:val="563777C9"/>
    <w:rsid w:val="5639222C"/>
    <w:rsid w:val="563B1048"/>
    <w:rsid w:val="563B2A42"/>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019DF"/>
    <w:rsid w:val="586250A0"/>
    <w:rsid w:val="58650C5B"/>
    <w:rsid w:val="5868260B"/>
    <w:rsid w:val="58691A05"/>
    <w:rsid w:val="586C6306"/>
    <w:rsid w:val="586F5C86"/>
    <w:rsid w:val="5872241A"/>
    <w:rsid w:val="58744E3C"/>
    <w:rsid w:val="587527DD"/>
    <w:rsid w:val="587E75C9"/>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97C75"/>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167DE"/>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8178F"/>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8A4"/>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B7987"/>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7D23C8"/>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6674C"/>
    <w:rsid w:val="64477E7E"/>
    <w:rsid w:val="64493EB7"/>
    <w:rsid w:val="644C64F7"/>
    <w:rsid w:val="644D3DD1"/>
    <w:rsid w:val="644E7565"/>
    <w:rsid w:val="64500B1C"/>
    <w:rsid w:val="64532501"/>
    <w:rsid w:val="645669BC"/>
    <w:rsid w:val="64573736"/>
    <w:rsid w:val="64595EAC"/>
    <w:rsid w:val="645F50BB"/>
    <w:rsid w:val="646266D4"/>
    <w:rsid w:val="64633E02"/>
    <w:rsid w:val="64644BD2"/>
    <w:rsid w:val="64655408"/>
    <w:rsid w:val="64666FE0"/>
    <w:rsid w:val="646905B9"/>
    <w:rsid w:val="646A4255"/>
    <w:rsid w:val="646C600B"/>
    <w:rsid w:val="64713B8F"/>
    <w:rsid w:val="647215F8"/>
    <w:rsid w:val="64733A5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23D0"/>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CC47A6"/>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AE368B"/>
    <w:rsid w:val="6CB01279"/>
    <w:rsid w:val="6CB06212"/>
    <w:rsid w:val="6CB42DFD"/>
    <w:rsid w:val="6CB443B1"/>
    <w:rsid w:val="6CB458DD"/>
    <w:rsid w:val="6CB53EDD"/>
    <w:rsid w:val="6CB60C69"/>
    <w:rsid w:val="6CB62CDF"/>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BC7342"/>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A4112"/>
    <w:rsid w:val="750F0BA9"/>
    <w:rsid w:val="750F4E7A"/>
    <w:rsid w:val="75163100"/>
    <w:rsid w:val="75181445"/>
    <w:rsid w:val="751A36F4"/>
    <w:rsid w:val="751A4BCE"/>
    <w:rsid w:val="751C7D45"/>
    <w:rsid w:val="752361FE"/>
    <w:rsid w:val="752546B5"/>
    <w:rsid w:val="75291143"/>
    <w:rsid w:val="752C3826"/>
    <w:rsid w:val="752F371C"/>
    <w:rsid w:val="7531594A"/>
    <w:rsid w:val="75356E96"/>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23765"/>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D3D69"/>
    <w:rsid w:val="791E56E4"/>
    <w:rsid w:val="79204284"/>
    <w:rsid w:val="79205F77"/>
    <w:rsid w:val="7922368F"/>
    <w:rsid w:val="792551A3"/>
    <w:rsid w:val="792B64AC"/>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PMingLiU"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9"/>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9"/>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50"/>
    <w:unhideWhenUsed/>
    <w:qFormat/>
    <w:uiPriority w:val="9"/>
    <w:pPr>
      <w:outlineLvl w:val="2"/>
    </w:pPr>
  </w:style>
  <w:style w:type="paragraph" w:styleId="5">
    <w:name w:val="heading 4"/>
    <w:basedOn w:val="4"/>
    <w:next w:val="1"/>
    <w:link w:val="69"/>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70"/>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6"/>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4"/>
    <w:unhideWhenUsed/>
    <w:qFormat/>
    <w:uiPriority w:val="99"/>
    <w:rPr>
      <w:rFonts w:ascii="宋体"/>
      <w:sz w:val="18"/>
      <w:szCs w:val="18"/>
    </w:rPr>
  </w:style>
  <w:style w:type="paragraph" w:styleId="18">
    <w:name w:val="annotation text"/>
    <w:basedOn w:val="1"/>
    <w:link w:val="42"/>
    <w:unhideWhenUsed/>
    <w:qFormat/>
    <w:uiPriority w:val="99"/>
    <w:rPr>
      <w:sz w:val="20"/>
      <w:szCs w:val="20"/>
    </w:rPr>
  </w:style>
  <w:style w:type="paragraph" w:styleId="19">
    <w:name w:val="Body Text"/>
    <w:basedOn w:val="1"/>
    <w:link w:val="45"/>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7"/>
    <w:unhideWhenUsed/>
    <w:qFormat/>
    <w:uiPriority w:val="99"/>
    <w:pPr>
      <w:spacing w:after="120"/>
      <w:ind w:left="360"/>
    </w:pPr>
  </w:style>
  <w:style w:type="paragraph" w:styleId="21">
    <w:name w:val="Plain Text"/>
    <w:basedOn w:val="1"/>
    <w:link w:val="63"/>
    <w:unhideWhenUsed/>
    <w:qFormat/>
    <w:uiPriority w:val="99"/>
    <w:pPr>
      <w:spacing w:after="0" w:line="240" w:lineRule="auto"/>
    </w:pPr>
    <w:rPr>
      <w:rFonts w:eastAsia="Calibri"/>
      <w:szCs w:val="21"/>
      <w:lang w:val="en-GB" w:eastAsia="en-US"/>
    </w:rPr>
  </w:style>
  <w:style w:type="paragraph" w:styleId="22">
    <w:name w:val="Date"/>
    <w:basedOn w:val="1"/>
    <w:next w:val="1"/>
    <w:link w:val="57"/>
    <w:unhideWhenUsed/>
    <w:qFormat/>
    <w:uiPriority w:val="99"/>
    <w:pPr>
      <w:ind w:left="100" w:leftChars="2500"/>
    </w:pPr>
  </w:style>
  <w:style w:type="paragraph" w:styleId="23">
    <w:name w:val="Balloon Text"/>
    <w:basedOn w:val="1"/>
    <w:link w:val="38"/>
    <w:unhideWhenUsed/>
    <w:qFormat/>
    <w:uiPriority w:val="99"/>
    <w:pPr>
      <w:spacing w:after="0" w:line="240" w:lineRule="auto"/>
    </w:pPr>
    <w:rPr>
      <w:rFonts w:ascii="Tahoma" w:hAnsi="Tahoma"/>
      <w:sz w:val="16"/>
      <w:szCs w:val="16"/>
    </w:rPr>
  </w:style>
  <w:style w:type="paragraph" w:styleId="24">
    <w:name w:val="footer"/>
    <w:basedOn w:val="1"/>
    <w:link w:val="48"/>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40"/>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3"/>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FollowedHyperlink"/>
    <w:basedOn w:val="31"/>
    <w:semiHidden/>
    <w:unhideWhenUsed/>
    <w:qFormat/>
    <w:uiPriority w:val="99"/>
    <w:rPr>
      <w:color w:val="800080"/>
      <w:u w:val="single"/>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character" w:customStyle="1" w:styleId="38">
    <w:name w:val="Balloon Text Char"/>
    <w:link w:val="23"/>
    <w:semiHidden/>
    <w:qFormat/>
    <w:uiPriority w:val="99"/>
    <w:rPr>
      <w:rFonts w:ascii="Tahoma" w:hAnsi="Tahoma" w:cs="Tahoma"/>
      <w:sz w:val="16"/>
      <w:szCs w:val="16"/>
    </w:rPr>
  </w:style>
  <w:style w:type="character" w:customStyle="1" w:styleId="39">
    <w:name w:val="Heading 1 Char"/>
    <w:link w:val="2"/>
    <w:qFormat/>
    <w:uiPriority w:val="99"/>
    <w:rPr>
      <w:rFonts w:ascii="Arial" w:hAnsi="Arial" w:eastAsia="黑体"/>
      <w:b/>
      <w:bCs/>
      <w:sz w:val="30"/>
      <w:szCs w:val="30"/>
      <w:lang w:val="zh-CN" w:eastAsia="zh-CN"/>
    </w:rPr>
  </w:style>
  <w:style w:type="character" w:customStyle="1" w:styleId="40">
    <w:name w:val="Header Char"/>
    <w:link w:val="25"/>
    <w:qFormat/>
    <w:uiPriority w:val="99"/>
    <w:rPr>
      <w:rFonts w:ascii="Arial" w:hAnsi="Arial" w:eastAsia="MS Mincho"/>
      <w:b/>
      <w:szCs w:val="24"/>
      <w:lang w:eastAsia="en-US"/>
    </w:rPr>
  </w:style>
  <w:style w:type="paragraph" w:customStyle="1" w:styleId="41">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2">
    <w:name w:val="Comment Text Char"/>
    <w:basedOn w:val="31"/>
    <w:link w:val="18"/>
    <w:qFormat/>
    <w:uiPriority w:val="99"/>
  </w:style>
  <w:style w:type="character" w:customStyle="1" w:styleId="43">
    <w:name w:val="Comment Subject Char"/>
    <w:link w:val="27"/>
    <w:semiHidden/>
    <w:qFormat/>
    <w:uiPriority w:val="99"/>
    <w:rPr>
      <w:b/>
      <w:bCs/>
    </w:rPr>
  </w:style>
  <w:style w:type="character" w:customStyle="1" w:styleId="44">
    <w:name w:val="Document Map Char"/>
    <w:link w:val="17"/>
    <w:semiHidden/>
    <w:qFormat/>
    <w:uiPriority w:val="99"/>
    <w:rPr>
      <w:rFonts w:ascii="宋体"/>
      <w:sz w:val="18"/>
      <w:szCs w:val="18"/>
    </w:rPr>
  </w:style>
  <w:style w:type="character" w:customStyle="1" w:styleId="45">
    <w:name w:val="Body Text Char"/>
    <w:link w:val="19"/>
    <w:qFormat/>
    <w:uiPriority w:val="0"/>
    <w:rPr>
      <w:rFonts w:ascii="Times New Roman" w:hAnsi="Times New Roman"/>
      <w:color w:val="0000FF"/>
      <w:kern w:val="2"/>
      <w:sz w:val="21"/>
    </w:rPr>
  </w:style>
  <w:style w:type="character" w:customStyle="1" w:styleId="46">
    <w:name w:val="Caption Char"/>
    <w:link w:val="16"/>
    <w:qFormat/>
    <w:uiPriority w:val="0"/>
    <w:rPr>
      <w:rFonts w:ascii="Times New Roman" w:hAnsi="Times New Roman"/>
      <w:b/>
      <w:bCs/>
      <w:lang w:val="en-GB" w:eastAsia="sv-SE"/>
    </w:rPr>
  </w:style>
  <w:style w:type="paragraph" w:customStyle="1" w:styleId="47">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8">
    <w:name w:val="Footer Char"/>
    <w:link w:val="24"/>
    <w:qFormat/>
    <w:uiPriority w:val="99"/>
    <w:rPr>
      <w:sz w:val="18"/>
      <w:szCs w:val="18"/>
    </w:rPr>
  </w:style>
  <w:style w:type="character" w:customStyle="1" w:styleId="49">
    <w:name w:val="Heading 2 Char"/>
    <w:link w:val="3"/>
    <w:qFormat/>
    <w:uiPriority w:val="0"/>
    <w:rPr>
      <w:rFonts w:eastAsia="Times New Roman"/>
      <w:b/>
      <w:sz w:val="24"/>
      <w:szCs w:val="32"/>
    </w:rPr>
  </w:style>
  <w:style w:type="character" w:customStyle="1" w:styleId="50">
    <w:name w:val="Heading 3 Char"/>
    <w:link w:val="4"/>
    <w:semiHidden/>
    <w:qFormat/>
    <w:uiPriority w:val="9"/>
    <w:rPr>
      <w:b/>
      <w:bCs/>
      <w:sz w:val="32"/>
      <w:szCs w:val="32"/>
    </w:rPr>
  </w:style>
  <w:style w:type="paragraph" w:customStyle="1" w:styleId="5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2">
    <w:name w:val="z-Top of Form1"/>
    <w:basedOn w:val="1"/>
    <w:next w:val="1"/>
    <w:link w:val="53"/>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3">
    <w:name w:val="z-窗体顶端 Char"/>
    <w:link w:val="52"/>
    <w:semiHidden/>
    <w:qFormat/>
    <w:uiPriority w:val="99"/>
    <w:rPr>
      <w:rFonts w:ascii="Arial" w:hAnsi="Arial" w:cs="Arial"/>
      <w:vanish/>
      <w:sz w:val="16"/>
      <w:szCs w:val="16"/>
    </w:rPr>
  </w:style>
  <w:style w:type="character" w:customStyle="1" w:styleId="54">
    <w:name w:val="hps"/>
    <w:basedOn w:val="31"/>
    <w:qFormat/>
    <w:uiPriority w:val="0"/>
  </w:style>
  <w:style w:type="paragraph" w:customStyle="1" w:styleId="55">
    <w:name w:val="z-Bottom of Form1"/>
    <w:basedOn w:val="1"/>
    <w:next w:val="1"/>
    <w:link w:val="56"/>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6">
    <w:name w:val="z-窗体底端 Char"/>
    <w:link w:val="55"/>
    <w:semiHidden/>
    <w:qFormat/>
    <w:uiPriority w:val="99"/>
    <w:rPr>
      <w:rFonts w:ascii="Arial" w:hAnsi="Arial" w:cs="Arial"/>
      <w:vanish/>
      <w:sz w:val="16"/>
      <w:szCs w:val="16"/>
    </w:rPr>
  </w:style>
  <w:style w:type="character" w:customStyle="1" w:styleId="57">
    <w:name w:val="Date Char"/>
    <w:link w:val="22"/>
    <w:semiHidden/>
    <w:qFormat/>
    <w:uiPriority w:val="99"/>
    <w:rPr>
      <w:sz w:val="22"/>
      <w:szCs w:val="22"/>
    </w:rPr>
  </w:style>
  <w:style w:type="paragraph" w:customStyle="1" w:styleId="58">
    <w:name w:val="List Paragraph1"/>
    <w:basedOn w:val="1"/>
    <w:link w:val="72"/>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9">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60">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1">
    <w:name w:val="short_text"/>
    <w:basedOn w:val="31"/>
    <w:qFormat/>
    <w:uiPriority w:val="0"/>
  </w:style>
  <w:style w:type="paragraph" w:customStyle="1" w:styleId="62">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3">
    <w:name w:val="Plain Text Char"/>
    <w:link w:val="21"/>
    <w:qFormat/>
    <w:uiPriority w:val="99"/>
    <w:rPr>
      <w:rFonts w:eastAsia="Calibri"/>
      <w:sz w:val="22"/>
      <w:szCs w:val="21"/>
      <w:lang w:val="en-GB" w:eastAsia="en-US"/>
    </w:rPr>
  </w:style>
  <w:style w:type="paragraph" w:customStyle="1" w:styleId="64">
    <w:name w:val="TAH"/>
    <w:basedOn w:val="65"/>
    <w:link w:val="85"/>
    <w:qFormat/>
    <w:uiPriority w:val="0"/>
    <w:rPr>
      <w:b/>
    </w:rPr>
  </w:style>
  <w:style w:type="paragraph" w:customStyle="1" w:styleId="65">
    <w:name w:val="TAC"/>
    <w:basedOn w:val="66"/>
    <w:qFormat/>
    <w:uiPriority w:val="0"/>
    <w:pPr>
      <w:spacing w:line="240" w:lineRule="auto"/>
      <w:jc w:val="center"/>
    </w:pPr>
    <w:rPr>
      <w:szCs w:val="20"/>
      <w:lang w:val="en-GB" w:eastAsia="en-US"/>
    </w:rPr>
  </w:style>
  <w:style w:type="paragraph" w:customStyle="1" w:styleId="66">
    <w:name w:val="TAL"/>
    <w:basedOn w:val="1"/>
    <w:qFormat/>
    <w:uiPriority w:val="0"/>
    <w:pPr>
      <w:keepNext/>
      <w:keepLines/>
      <w:spacing w:after="0"/>
    </w:pPr>
    <w:rPr>
      <w:rFonts w:ascii="Arial" w:hAnsi="Arial"/>
      <w:sz w:val="18"/>
    </w:rPr>
  </w:style>
  <w:style w:type="paragraph" w:customStyle="1" w:styleId="67">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8">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9">
    <w:name w:val="Heading 4 Char"/>
    <w:link w:val="5"/>
    <w:qFormat/>
    <w:uiPriority w:val="0"/>
    <w:rPr>
      <w:rFonts w:ascii="Times New Roman" w:hAnsi="Times New Roman"/>
      <w:b/>
      <w:sz w:val="28"/>
      <w:szCs w:val="28"/>
      <w:lang w:val="en-GB"/>
    </w:rPr>
  </w:style>
  <w:style w:type="character" w:customStyle="1" w:styleId="70">
    <w:name w:val="Heading 5 Char"/>
    <w:link w:val="6"/>
    <w:qFormat/>
    <w:uiPriority w:val="0"/>
    <w:rPr>
      <w:rFonts w:ascii="Times New Roman" w:hAnsi="Times New Roman"/>
      <w:b/>
      <w:sz w:val="24"/>
      <w:szCs w:val="24"/>
      <w:lang w:val="en-GB"/>
    </w:rPr>
  </w:style>
  <w:style w:type="character" w:customStyle="1" w:styleId="71">
    <w:name w:val="apple-converted-space"/>
    <w:basedOn w:val="31"/>
    <w:qFormat/>
    <w:uiPriority w:val="0"/>
  </w:style>
  <w:style w:type="character" w:customStyle="1" w:styleId="72">
    <w:name w:val="列出段落 Char"/>
    <w:link w:val="58"/>
    <w:qFormat/>
    <w:locked/>
    <w:uiPriority w:val="34"/>
    <w:rPr>
      <w:rFonts w:ascii="Times New Roman" w:hAnsi="Times New Roman"/>
      <w:kern w:val="2"/>
      <w:sz w:val="21"/>
      <w:szCs w:val="24"/>
    </w:rPr>
  </w:style>
  <w:style w:type="character" w:customStyle="1" w:styleId="73">
    <w:name w:val="keyword"/>
    <w:basedOn w:val="31"/>
    <w:qFormat/>
    <w:uiPriority w:val="0"/>
  </w:style>
  <w:style w:type="paragraph" w:customStyle="1" w:styleId="74">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5">
    <w:name w:val="Doc-text2"/>
    <w:basedOn w:val="1"/>
    <w:link w:val="76"/>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6">
    <w:name w:val="Doc-text2 Char"/>
    <w:link w:val="75"/>
    <w:qFormat/>
    <w:uiPriority w:val="0"/>
    <w:rPr>
      <w:rFonts w:ascii="Arial" w:hAnsi="Arial" w:eastAsia="MS Mincho"/>
      <w:szCs w:val="24"/>
      <w:lang w:val="en-GB" w:eastAsia="en-GB"/>
    </w:rPr>
  </w:style>
  <w:style w:type="character" w:customStyle="1" w:styleId="77">
    <w:name w:val="Body Text Indent Char"/>
    <w:basedOn w:val="31"/>
    <w:link w:val="20"/>
    <w:semiHidden/>
    <w:qFormat/>
    <w:uiPriority w:val="99"/>
    <w:rPr>
      <w:sz w:val="22"/>
      <w:szCs w:val="22"/>
    </w:rPr>
  </w:style>
  <w:style w:type="paragraph" w:customStyle="1" w:styleId="78">
    <w:name w:val="main text"/>
    <w:basedOn w:val="1"/>
    <w:link w:val="79"/>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9">
    <w:name w:val="main text Char"/>
    <w:link w:val="78"/>
    <w:qFormat/>
    <w:uiPriority w:val="0"/>
    <w:rPr>
      <w:rFonts w:ascii="Times New Roman" w:hAnsi="Times New Roman" w:eastAsia="Malgun Gothic"/>
      <w:lang w:val="en-GB" w:eastAsia="ko-KR"/>
    </w:rPr>
  </w:style>
  <w:style w:type="paragraph" w:customStyle="1" w:styleId="80">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1">
    <w:name w:val="样式 正文缩进d + 首行缩进:  2 字符 段前: 0.35 行"/>
    <w:basedOn w:val="15"/>
    <w:link w:val="82"/>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2">
    <w:name w:val="样式 正文缩进d + 首行缩进:  2 字符 段前: 0.35 行 Char"/>
    <w:link w:val="81"/>
    <w:qFormat/>
    <w:uiPriority w:val="0"/>
    <w:rPr>
      <w:rFonts w:ascii="Times New Roman" w:hAnsi="Times New Roman" w:eastAsia="楷体_GB2312"/>
      <w:snapToGrid w:val="0"/>
      <w:sz w:val="28"/>
    </w:rPr>
  </w:style>
  <w:style w:type="paragraph" w:customStyle="1" w:styleId="83">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4">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5">
    <w:name w:val="TAH Car"/>
    <w:link w:val="64"/>
    <w:qFormat/>
    <w:uiPriority w:val="0"/>
    <w:rPr>
      <w:rFonts w:ascii="Arial" w:hAnsi="Arial"/>
      <w:b/>
      <w:sz w:val="18"/>
      <w:lang w:val="en-GB" w:eastAsia="en-US"/>
    </w:rPr>
  </w:style>
  <w:style w:type="paragraph" w:customStyle="1" w:styleId="86">
    <w:name w:val="_Style 1"/>
    <w:basedOn w:val="1"/>
    <w:qFormat/>
    <w:uiPriority w:val="34"/>
    <w:pPr>
      <w:ind w:left="840" w:leftChars="400"/>
    </w:pPr>
  </w:style>
  <w:style w:type="paragraph" w:customStyle="1" w:styleId="87">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8">
    <w:name w:val="B1"/>
    <w:basedOn w:val="13"/>
    <w:qFormat/>
    <w:uiPriority w:val="0"/>
  </w:style>
  <w:style w:type="paragraph" w:customStyle="1" w:styleId="89">
    <w:name w:val="EQ"/>
    <w:basedOn w:val="1"/>
    <w:next w:val="1"/>
    <w:unhideWhenUsed/>
    <w:qFormat/>
    <w:uiPriority w:val="0"/>
    <w:pPr>
      <w:keepLines/>
      <w:tabs>
        <w:tab w:val="center" w:pos="4536"/>
        <w:tab w:val="right" w:pos="9072"/>
      </w:tabs>
    </w:pPr>
    <w:rPr>
      <w:sz w:val="24"/>
    </w:rPr>
  </w:style>
  <w:style w:type="paragraph" w:customStyle="1" w:styleId="90">
    <w:name w:val="List Paragraph2"/>
    <w:basedOn w:val="1"/>
    <w:qFormat/>
    <w:uiPriority w:val="99"/>
    <w:pPr>
      <w:ind w:firstLine="420" w:firstLineChars="200"/>
    </w:pPr>
  </w:style>
  <w:style w:type="paragraph" w:customStyle="1" w:styleId="9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2">
    <w:name w:val="Comments"/>
    <w:basedOn w:val="1"/>
    <w:qFormat/>
    <w:uiPriority w:val="0"/>
    <w:pPr>
      <w:spacing w:before="40"/>
    </w:pPr>
    <w:rPr>
      <w:rFonts w:ascii="Arial" w:hAnsi="Arial" w:eastAsia="MS Mincho"/>
      <w:i/>
      <w:sz w:val="18"/>
      <w:lang w:eastAsia="en-GB"/>
    </w:rPr>
  </w:style>
  <w:style w:type="paragraph" w:customStyle="1" w:styleId="93">
    <w:name w:val="列出段落2"/>
    <w:basedOn w:val="1"/>
    <w:qFormat/>
    <w:uiPriority w:val="0"/>
    <w:pPr>
      <w:ind w:left="840" w:leftChars="400"/>
    </w:pPr>
  </w:style>
  <w:style w:type="paragraph" w:customStyle="1" w:styleId="9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5">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6">
    <w:name w:val="列出段落3"/>
    <w:basedOn w:val="1"/>
    <w:qFormat/>
    <w:uiPriority w:val="34"/>
    <w:pPr>
      <w:ind w:left="840" w:leftChars="400"/>
    </w:pPr>
  </w:style>
  <w:style w:type="paragraph" w:customStyle="1" w:styleId="97">
    <w:name w:val="列出段落4"/>
    <w:basedOn w:val="1"/>
    <w:qFormat/>
    <w:uiPriority w:val="34"/>
    <w:pPr>
      <w:ind w:left="840" w:leftChars="400"/>
    </w:pPr>
  </w:style>
  <w:style w:type="paragraph" w:customStyle="1" w:styleId="98">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9">
    <w:name w:val="列出段落5"/>
    <w:basedOn w:val="1"/>
    <w:qFormat/>
    <w:uiPriority w:val="34"/>
    <w:pPr>
      <w:ind w:left="840" w:leftChars="400"/>
    </w:pPr>
  </w:style>
  <w:style w:type="paragraph" w:customStyle="1" w:styleId="100">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1">
    <w:name w:val="x_msonormal"/>
    <w:basedOn w:val="1"/>
    <w:qFormat/>
    <w:uiPriority w:val="99"/>
    <w:rPr>
      <w:rFonts w:eastAsia="Calibri" w:cs="Calibri"/>
    </w:rPr>
  </w:style>
  <w:style w:type="paragraph" w:styleId="102">
    <w:name w:val="List Paragraph"/>
    <w:basedOn w:val="1"/>
    <w:qFormat/>
    <w:uiPriority w:val="34"/>
    <w:pPr>
      <w:ind w:firstLine="420" w:firstLineChars="200"/>
    </w:pPr>
  </w:style>
  <w:style w:type="character" w:styleId="103">
    <w:name w:val="Placeholder Text"/>
    <w:basedOn w:val="31"/>
    <w:semiHidden/>
    <w:qFormat/>
    <w:uiPriority w:val="99"/>
    <w:rPr>
      <w:color w:val="808080"/>
    </w:rPr>
  </w:style>
  <w:style w:type="paragraph" w:customStyle="1" w:styleId="104">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5">
    <w:name w:val="Statement Body"/>
    <w:basedOn w:val="1"/>
    <w:qFormat/>
    <w:uiPriority w:val="0"/>
  </w:style>
  <w:style w:type="paragraph" w:customStyle="1" w:styleId="106">
    <w:name w:val="xmsonormal"/>
    <w:basedOn w:val="1"/>
    <w:qFormat/>
    <w:uiPriority w:val="99"/>
    <w:pPr>
      <w:spacing w:before="100" w:beforeAutospacing="1" w:after="100" w:afterAutospacing="1"/>
    </w:pPr>
    <w:rPr>
      <w:rFonts w:eastAsia="Calibri" w:cs="Calibri"/>
    </w:rPr>
  </w:style>
  <w:style w:type="paragraph" w:customStyle="1" w:styleId="107">
    <w:name w:val="xa0"/>
    <w:basedOn w:val="1"/>
    <w:qFormat/>
    <w:uiPriority w:val="0"/>
    <w:pPr>
      <w:spacing w:before="100" w:beforeAutospacing="1" w:after="100" w:afterAutospacing="1"/>
    </w:pPr>
    <w:rPr>
      <w:rFonts w:eastAsia="Calibri" w:cs="Calibri"/>
    </w:rPr>
  </w:style>
  <w:style w:type="paragraph" w:customStyle="1" w:styleId="108">
    <w:name w:val="x_x_msonormal"/>
    <w:basedOn w:val="1"/>
    <w:qFormat/>
    <w:uiPriority w:val="99"/>
    <w:pPr>
      <w:spacing w:before="100" w:beforeAutospacing="1" w:after="100" w:afterAutospacing="1"/>
    </w:pPr>
    <w:rPr>
      <w:rFonts w:eastAsia="Calibri" w:cs="Calibri"/>
    </w:rPr>
  </w:style>
  <w:style w:type="character" w:customStyle="1" w:styleId="109">
    <w:name w:val="x_x_apple-converted-space"/>
    <w:basedOn w:val="31"/>
    <w:qFormat/>
    <w:uiPriority w:val="0"/>
  </w:style>
  <w:style w:type="paragraph" w:customStyle="1" w:styleId="110">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1">
    <w:name w:val="15"/>
    <w:basedOn w:val="31"/>
    <w:qFormat/>
    <w:uiPriority w:val="0"/>
    <w:rPr>
      <w:rFonts w:hint="eastAsia" w:ascii="Malgun Gothic" w:hAnsi="Malgun Gothic" w:eastAsia="Malgun Gothic"/>
      <w:i/>
      <w:iCs/>
    </w:rPr>
  </w:style>
  <w:style w:type="paragraph" w:customStyle="1" w:styleId="112">
    <w:name w:val="xxmsonormal"/>
    <w:basedOn w:val="1"/>
    <w:qFormat/>
    <w:uiPriority w:val="0"/>
    <w:pPr>
      <w:spacing w:before="100" w:beforeAutospacing="1" w:after="100" w:afterAutospacing="1"/>
    </w:pPr>
    <w:rPr>
      <w:rFonts w:eastAsia="Calibri" w:cs="Calibri"/>
    </w:rPr>
  </w:style>
  <w:style w:type="table" w:customStyle="1" w:styleId="113">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xxxxmsonormal"/>
    <w:basedOn w:val="1"/>
    <w:qFormat/>
    <w:uiPriority w:val="99"/>
    <w:pPr>
      <w:spacing w:before="100" w:beforeAutospacing="1" w:after="100" w:afterAutospacing="1"/>
    </w:pPr>
    <w:rPr>
      <w:rFonts w:eastAsia="Malgun Gothic" w:cs="Calibri"/>
      <w:lang w:eastAsia="ko-KR"/>
    </w:rPr>
  </w:style>
  <w:style w:type="paragraph" w:customStyle="1" w:styleId="115">
    <w:name w:val="xxxmsonormal"/>
    <w:basedOn w:val="1"/>
    <w:qFormat/>
    <w:uiPriority w:val="99"/>
    <w:pPr>
      <w:spacing w:before="100" w:beforeAutospacing="1" w:after="100" w:afterAutospacing="1"/>
    </w:pPr>
    <w:rPr>
      <w:rFonts w:eastAsia="Malgun Gothic" w:cs="Calibri"/>
      <w:lang w:eastAsia="ko-KR"/>
    </w:rPr>
  </w:style>
  <w:style w:type="character" w:customStyle="1" w:styleId="116">
    <w:name w:val="xxxxapple-converted-space"/>
    <w:qFormat/>
    <w:uiPriority w:val="0"/>
  </w:style>
  <w:style w:type="paragraph" w:customStyle="1" w:styleId="117">
    <w:name w:val="xxxxproposal"/>
    <w:basedOn w:val="1"/>
    <w:qFormat/>
    <w:uiPriority w:val="99"/>
    <w:pPr>
      <w:spacing w:before="100" w:beforeAutospacing="1" w:after="100" w:afterAutospacing="1"/>
    </w:pPr>
    <w:rPr>
      <w:rFonts w:eastAsia="Malgun Gothic" w:cs="Calibri"/>
      <w:lang w:eastAsia="ko-KR"/>
    </w:rPr>
  </w:style>
  <w:style w:type="paragraph" w:customStyle="1" w:styleId="118">
    <w:name w:val="xxxxxa0"/>
    <w:basedOn w:val="1"/>
    <w:qFormat/>
    <w:uiPriority w:val="99"/>
    <w:pPr>
      <w:spacing w:before="100" w:beforeAutospacing="1" w:after="100" w:afterAutospacing="1"/>
    </w:pPr>
    <w:rPr>
      <w:rFonts w:eastAsia="Malgun Gothic" w:cs="Calibri"/>
      <w:lang w:eastAsia="ko-KR"/>
    </w:rPr>
  </w:style>
  <w:style w:type="character" w:customStyle="1" w:styleId="119">
    <w:name w:val="xxxxxxxxxxapple-converted-space"/>
    <w:qFormat/>
    <w:uiPriority w:val="0"/>
  </w:style>
  <w:style w:type="character" w:customStyle="1" w:styleId="120">
    <w:name w:val="xxxxxxxapple-converted-space"/>
    <w:qFormat/>
    <w:uiPriority w:val="0"/>
  </w:style>
  <w:style w:type="paragraph" w:customStyle="1" w:styleId="121">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2">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3">
    <w:name w:val="Observation"/>
    <w:basedOn w:val="104"/>
    <w:qFormat/>
    <w:uiPriority w:val="0"/>
    <w:pPr>
      <w:numPr>
        <w:ilvl w:val="0"/>
        <w:numId w:val="3"/>
      </w:numPr>
      <w:tabs>
        <w:tab w:val="left" w:pos="1304"/>
      </w:tabs>
    </w:pPr>
  </w:style>
  <w:style w:type="paragraph" w:customStyle="1" w:styleId="124">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5">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6">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7">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8">
    <w:name w:val="FP"/>
    <w:basedOn w:val="1"/>
    <w:qFormat/>
    <w:uiPriority w:val="0"/>
    <w:pPr>
      <w:spacing w:after="0"/>
    </w:pPr>
  </w:style>
  <w:style w:type="character" w:customStyle="1" w:styleId="129">
    <w:name w:val="colour"/>
    <w:basedOn w:val="31"/>
    <w:qFormat/>
    <w:uiPriority w:val="0"/>
  </w:style>
  <w:style w:type="paragraph" w:customStyle="1" w:styleId="130">
    <w:name w:val="NO"/>
    <w:basedOn w:val="1"/>
    <w:qFormat/>
    <w:uiPriority w:val="0"/>
    <w:pPr>
      <w:keepLines/>
      <w:ind w:left="1135" w:hanging="851"/>
    </w:pPr>
  </w:style>
  <w:style w:type="character" w:customStyle="1" w:styleId="131">
    <w:name w:val="列表段落 字符1"/>
    <w:basedOn w:val="31"/>
    <w:link w:val="132"/>
    <w:qFormat/>
    <w:uiPriority w:val="0"/>
    <w:rPr>
      <w:kern w:val="2"/>
      <w:sz w:val="21"/>
      <w:szCs w:val="24"/>
    </w:rPr>
  </w:style>
  <w:style w:type="paragraph" w:customStyle="1" w:styleId="132">
    <w:name w:val="列表段落"/>
    <w:basedOn w:val="1"/>
    <w:link w:val="13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3">
    <w:name w:val="列表段落1"/>
    <w:basedOn w:val="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4">
    <w:name w:val="msolistparagraph"/>
    <w:basedOn w:val="1"/>
    <w:qFormat/>
    <w:uiPriority w:val="0"/>
    <w:pPr>
      <w:overflowPunct w:val="0"/>
      <w:autoSpaceDE w:val="0"/>
      <w:autoSpaceDN w:val="0"/>
      <w:adjustRightInd w:val="0"/>
      <w:spacing w:after="180"/>
      <w:ind w:firstLine="420" w:firstLineChars="200"/>
    </w:pPr>
    <w:rPr>
      <w:rFonts w:ascii="Times New Roman" w:hAnsi="Times New Roman" w:eastAsia="Times New Roman"/>
      <w:sz w:val="20"/>
      <w:szCs w:val="20"/>
    </w:rPr>
  </w:style>
  <w:style w:type="character" w:customStyle="1" w:styleId="135">
    <w:name w:val="列表段落 字符"/>
    <w:basedOn w:val="31"/>
    <w:link w:val="136"/>
    <w:qFormat/>
    <w:uiPriority w:val="0"/>
    <w:rPr>
      <w:rFonts w:hint="default" w:ascii="Times New Roman" w:hAnsi="Times New Roman" w:eastAsia="Times New Roman" w:cs="Times New Roman"/>
      <w:lang w:val="en-US" w:eastAsia="en-US"/>
    </w:rPr>
  </w:style>
  <w:style w:type="paragraph" w:customStyle="1" w:styleId="136">
    <w:name w:val="列表段落2"/>
    <w:basedOn w:val="1"/>
    <w:link w:val="135"/>
    <w:qFormat/>
    <w:uiPriority w:val="0"/>
    <w:pPr>
      <w:overflowPunct w:val="0"/>
      <w:autoSpaceDE w:val="0"/>
      <w:autoSpaceDN w:val="0"/>
      <w:adjustRightInd w:val="0"/>
      <w:spacing w:after="180"/>
      <w:ind w:left="720"/>
      <w:contextualSpacing/>
    </w:pPr>
    <w:rPr>
      <w:rFonts w:ascii="Times New Roman" w:hAnsi="Times New Roman" w:eastAsia="Times New Roman"/>
      <w:sz w:val="20"/>
      <w:szCs w:val="20"/>
    </w:rPr>
  </w:style>
  <w:style w:type="character" w:customStyle="1" w:styleId="137">
    <w:name w:val="标题 1 字符"/>
    <w:basedOn w:val="31"/>
    <w:qFormat/>
    <w:uiPriority w:val="0"/>
    <w:rPr>
      <w:rFonts w:hint="default" w:ascii="Arial" w:hAnsi="Arial" w:eastAsia="Times New Roman" w:cs="Arial"/>
      <w:sz w:val="36"/>
      <w:lang w:val="en-US" w:eastAsia="en-US"/>
    </w:rPr>
  </w:style>
  <w:style w:type="character" w:customStyle="1" w:styleId="138">
    <w:name w:val="标题 2 字符"/>
    <w:basedOn w:val="31"/>
    <w:qFormat/>
    <w:uiPriority w:val="0"/>
    <w:rPr>
      <w:rFonts w:hint="default" w:ascii="Arial" w:hAnsi="Arial" w:cs="Arial"/>
      <w:sz w:val="32"/>
      <w:lang w:eastAsia="en-US"/>
    </w:rPr>
  </w:style>
  <w:style w:type="character" w:customStyle="1" w:styleId="139">
    <w:name w:val="B1 Zchn"/>
    <w:basedOn w:val="31"/>
    <w:qFormat/>
    <w:uiPriority w:val="0"/>
    <w:rPr>
      <w:lang w:eastAsia="en-US"/>
    </w:rPr>
  </w:style>
  <w:style w:type="character" w:customStyle="1" w:styleId="140">
    <w:name w:val="B3 Char"/>
    <w:basedOn w:val="31"/>
    <w:qFormat/>
    <w:uiPriority w:val="0"/>
    <w:rPr>
      <w:lang w:eastAsia="en-US"/>
    </w:rPr>
  </w:style>
  <w:style w:type="character" w:customStyle="1" w:styleId="141">
    <w:name w:val="TAC Char"/>
    <w:basedOn w:val="31"/>
    <w:qFormat/>
    <w:uiPriority w:val="0"/>
    <w:rPr>
      <w:rFonts w:hint="default" w:ascii="Arial" w:hAnsi="Arial" w:cs="Arial"/>
      <w:sz w:val="18"/>
      <w:lang w:eastAsia="en-US"/>
    </w:rPr>
  </w:style>
  <w:style w:type="character" w:customStyle="1" w:styleId="142">
    <w:name w:val="B2 Char"/>
    <w:basedOn w:val="31"/>
    <w:qFormat/>
    <w:uiPriority w:val="0"/>
    <w:rPr>
      <w:lang w:eastAsia="en-US"/>
    </w:rPr>
  </w:style>
  <w:style w:type="character" w:customStyle="1" w:styleId="143">
    <w:name w:val="TH Char"/>
    <w:basedOn w:val="31"/>
    <w:qFormat/>
    <w:uiPriority w:val="0"/>
    <w:rPr>
      <w:rFonts w:hint="default" w:ascii="Arial" w:hAnsi="Arial" w:cs="Arial"/>
      <w:b/>
      <w:lang w:eastAsia="en-US"/>
    </w:rPr>
  </w:style>
  <w:style w:type="paragraph" w:customStyle="1" w:styleId="144">
    <w:name w:val="CR Cover Page"/>
    <w:basedOn w:val="1"/>
    <w:qFormat/>
    <w:uiPriority w:val="0"/>
    <w:pPr>
      <w:spacing w:after="120"/>
    </w:pPr>
    <w:rPr>
      <w:rFonts w:ascii="Arial" w:hAnsi="Arial" w:eastAsia="PMingLiU"/>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23DF7-31F9-4351-BB21-44805AFFFEC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3361</Words>
  <Characters>19164</Characters>
  <Lines>159</Lines>
  <Paragraphs>44</Paragraphs>
  <TotalTime>23</TotalTime>
  <ScaleCrop>false</ScaleCrop>
  <LinksUpToDate>false</LinksUpToDate>
  <CharactersWithSpaces>22481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00144563</cp:lastModifiedBy>
  <dcterms:modified xsi:type="dcterms:W3CDTF">2025-03-28T09:14:09Z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DD023112D7D3425B93FFA94E01DBBB98</vt:lpwstr>
  </property>
</Properties>
</file>